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77470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50165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6" w:lineRule="exact"/>
        <w:rPr>
          <w:sz w:val="24"/>
          <w:szCs w:val="24"/>
          <w:color w:val="auto"/>
        </w:rPr>
      </w:pPr>
    </w:p>
    <w:p>
      <w:pPr>
        <w:ind w:left="4100" w:right="2740" w:hanging="4092"/>
        <w:spacing w:after="0" w:line="321" w:lineRule="auto"/>
        <w:tabs>
          <w:tab w:leader="none" w:pos="581"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6"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271"/>
        </w:trPr>
        <w:tc>
          <w:tcPr>
            <w:tcW w:w="3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60" w:type="dxa"/>
            <w:vAlign w:val="bottom"/>
            <w:gridSpan w:val="4"/>
          </w:tcPr>
          <w:p>
            <w:pPr>
              <w:jc w:val="center"/>
              <w:ind w:left="527"/>
              <w:spacing w:after="0"/>
              <w:rPr>
                <w:sz w:val="20"/>
                <w:szCs w:val="20"/>
                <w:color w:val="auto"/>
              </w:rPr>
            </w:pPr>
            <w:r>
              <w:rPr>
                <w:rFonts w:ascii="Times New Roman" w:cs="Times New Roman" w:eastAsia="Times New Roman" w:hAnsi="Times New Roman"/>
                <w:sz w:val="16"/>
                <w:szCs w:val="16"/>
                <w:b w:val="1"/>
                <w:bCs w:val="1"/>
                <w:color w:val="auto"/>
              </w:rPr>
              <w:t>Commission File No. 001-37627</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60" w:type="dxa"/>
            <w:vAlign w:val="bottom"/>
          </w:tcPr>
          <w:p>
            <w:pPr>
              <w:spacing w:after="0"/>
              <w:rPr>
                <w:sz w:val="23"/>
                <w:szCs w:val="23"/>
                <w:color w:val="auto"/>
              </w:rPr>
            </w:pPr>
          </w:p>
        </w:tc>
      </w:tr>
      <w:tr>
        <w:trPr>
          <w:trHeight w:val="114"/>
        </w:trPr>
        <w:tc>
          <w:tcPr>
            <w:tcW w:w="3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92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tcPr>
          <w:p>
            <w:pPr>
              <w:spacing w:after="0"/>
              <w:rPr>
                <w:sz w:val="9"/>
                <w:szCs w:val="9"/>
                <w:color w:val="auto"/>
              </w:rPr>
            </w:pPr>
          </w:p>
        </w:tc>
      </w:tr>
      <w:tr>
        <w:trPr>
          <w:trHeight w:val="422"/>
        </w:trPr>
        <w:tc>
          <w:tcPr>
            <w:tcW w:w="3240" w:type="dxa"/>
            <w:vAlign w:val="bottom"/>
          </w:tcPr>
          <w:p>
            <w:pPr>
              <w:spacing w:after="0"/>
              <w:rPr>
                <w:sz w:val="24"/>
                <w:szCs w:val="24"/>
                <w:color w:val="auto"/>
              </w:rPr>
            </w:pPr>
          </w:p>
        </w:tc>
        <w:tc>
          <w:tcPr>
            <w:tcW w:w="8000" w:type="dxa"/>
            <w:vAlign w:val="bottom"/>
            <w:gridSpan w:val="10"/>
          </w:tcPr>
          <w:p>
            <w:pPr>
              <w:jc w:val="center"/>
              <w:ind w:right="3153"/>
              <w:spacing w:after="0"/>
              <w:rPr>
                <w:sz w:val="20"/>
                <w:szCs w:val="20"/>
                <w:color w:val="auto"/>
              </w:rPr>
            </w:pPr>
            <w:r>
              <w:rPr>
                <w:rFonts w:ascii="Times New Roman" w:cs="Times New Roman" w:eastAsia="Times New Roman" w:hAnsi="Times New Roman"/>
                <w:sz w:val="32"/>
                <w:szCs w:val="32"/>
                <w:b w:val="1"/>
                <w:bCs w:val="1"/>
                <w:color w:val="auto"/>
              </w:rPr>
              <w:t>WAVE LIFE SCIENCES LTD.</w:t>
            </w:r>
          </w:p>
        </w:tc>
      </w:tr>
      <w:tr>
        <w:trPr>
          <w:trHeight w:val="213"/>
        </w:trPr>
        <w:tc>
          <w:tcPr>
            <w:tcW w:w="3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500" w:type="dxa"/>
            <w:vAlign w:val="bottom"/>
            <w:gridSpan w:val="9"/>
          </w:tcPr>
          <w:p>
            <w:pPr>
              <w:jc w:val="center"/>
              <w:ind w:right="365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14"/>
        </w:trPr>
        <w:tc>
          <w:tcPr>
            <w:tcW w:w="3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tcPr>
          <w:p>
            <w:pPr>
              <w:spacing w:after="0"/>
              <w:rPr>
                <w:sz w:val="9"/>
                <w:szCs w:val="9"/>
                <w:color w:val="auto"/>
              </w:rPr>
            </w:pPr>
          </w:p>
        </w:tc>
      </w:tr>
      <w:tr>
        <w:trPr>
          <w:trHeight w:val="279"/>
        </w:trPr>
        <w:tc>
          <w:tcPr>
            <w:tcW w:w="3240" w:type="dxa"/>
            <w:vAlign w:val="bottom"/>
          </w:tcPr>
          <w:p>
            <w:pPr>
              <w:jc w:val="center"/>
              <w:ind w:left="2308"/>
              <w:spacing w:after="0"/>
              <w:rPr>
                <w:sz w:val="20"/>
                <w:szCs w:val="20"/>
                <w:color w:val="auto"/>
              </w:rPr>
            </w:pPr>
            <w:r>
              <w:rPr>
                <w:rFonts w:ascii="Times New Roman" w:cs="Times New Roman" w:eastAsia="Times New Roman" w:hAnsi="Times New Roman"/>
                <w:sz w:val="16"/>
                <w:szCs w:val="16"/>
                <w:b w:val="1"/>
                <w:bCs w:val="1"/>
                <w:color w:val="auto"/>
              </w:rPr>
              <w:t>Singapore</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gridSpan w:val="3"/>
          </w:tcPr>
          <w:p>
            <w:pPr>
              <w:jc w:val="right"/>
              <w:ind w:right="2353"/>
              <w:spacing w:after="0"/>
              <w:rPr>
                <w:sz w:val="20"/>
                <w:szCs w:val="20"/>
                <w:color w:val="auto"/>
              </w:rPr>
            </w:pPr>
            <w:r>
              <w:rPr>
                <w:rFonts w:ascii="Times New Roman" w:cs="Times New Roman" w:eastAsia="Times New Roman" w:hAnsi="Times New Roman"/>
                <w:sz w:val="16"/>
                <w:szCs w:val="16"/>
                <w:b w:val="1"/>
                <w:bCs w:val="1"/>
                <w:color w:val="auto"/>
              </w:rPr>
              <w:t>98-1356880</w:t>
            </w:r>
          </w:p>
        </w:tc>
      </w:tr>
      <w:tr>
        <w:trPr>
          <w:trHeight w:val="190"/>
        </w:trPr>
        <w:tc>
          <w:tcPr>
            <w:tcW w:w="648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59"/>
        </w:trPr>
        <w:tc>
          <w:tcPr>
            <w:tcW w:w="6480" w:type="dxa"/>
            <w:vAlign w:val="bottom"/>
            <w:gridSpan w:val="5"/>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7 Straits View #12-00, Marina One East Tower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94"/>
        </w:trPr>
        <w:tc>
          <w:tcPr>
            <w:tcW w:w="3240" w:type="dxa"/>
            <w:vAlign w:val="bottom"/>
          </w:tcPr>
          <w:p>
            <w:pPr>
              <w:jc w:val="center"/>
              <w:ind w:left="2308"/>
              <w:spacing w:after="0"/>
              <w:rPr>
                <w:sz w:val="20"/>
                <w:szCs w:val="20"/>
                <w:color w:val="auto"/>
              </w:rPr>
            </w:pPr>
            <w:r>
              <w:rPr>
                <w:rFonts w:ascii="Times New Roman" w:cs="Times New Roman" w:eastAsia="Times New Roman" w:hAnsi="Times New Roman"/>
                <w:sz w:val="16"/>
                <w:szCs w:val="16"/>
                <w:b w:val="1"/>
                <w:bCs w:val="1"/>
                <w:color w:val="auto"/>
              </w:rPr>
              <w:t>Singapore</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40" w:type="dxa"/>
            <w:vAlign w:val="bottom"/>
            <w:gridSpan w:val="3"/>
          </w:tcPr>
          <w:p>
            <w:pPr>
              <w:jc w:val="right"/>
              <w:ind w:right="2493"/>
              <w:spacing w:after="0"/>
              <w:rPr>
                <w:sz w:val="20"/>
                <w:szCs w:val="20"/>
                <w:color w:val="auto"/>
              </w:rPr>
            </w:pPr>
            <w:r>
              <w:rPr>
                <w:rFonts w:ascii="Times New Roman" w:cs="Times New Roman" w:eastAsia="Times New Roman" w:hAnsi="Times New Roman"/>
                <w:sz w:val="16"/>
                <w:szCs w:val="16"/>
                <w:b w:val="1"/>
                <w:bCs w:val="1"/>
                <w:color w:val="auto"/>
              </w:rPr>
              <w:t>018936</w:t>
            </w:r>
          </w:p>
        </w:tc>
      </w:tr>
      <w:tr>
        <w:trPr>
          <w:trHeight w:val="190"/>
        </w:trPr>
        <w:tc>
          <w:tcPr>
            <w:tcW w:w="6480" w:type="dxa"/>
            <w:vAlign w:val="bottom"/>
            <w:gridSpan w:val="5"/>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7"/>
        </w:trPr>
        <w:tc>
          <w:tcPr>
            <w:tcW w:w="3240" w:type="dxa"/>
            <w:vAlign w:val="bottom"/>
          </w:tcPr>
          <w:p>
            <w:pPr>
              <w:spacing w:after="0"/>
              <w:rPr>
                <w:sz w:val="21"/>
                <w:szCs w:val="21"/>
                <w:color w:val="auto"/>
              </w:rPr>
            </w:pPr>
          </w:p>
        </w:tc>
        <w:tc>
          <w:tcPr>
            <w:tcW w:w="8000" w:type="dxa"/>
            <w:vAlign w:val="bottom"/>
            <w:gridSpan w:val="10"/>
          </w:tcPr>
          <w:p>
            <w:pPr>
              <w:jc w:val="center"/>
              <w:ind w:right="317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 6236 3388</w:t>
            </w:r>
          </w:p>
        </w:tc>
      </w:tr>
      <w:tr>
        <w:trPr>
          <w:trHeight w:val="279"/>
        </w:trPr>
        <w:tc>
          <w:tcPr>
            <w:tcW w:w="3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500" w:type="dxa"/>
            <w:vAlign w:val="bottom"/>
            <w:gridSpan w:val="9"/>
          </w:tcPr>
          <w:p>
            <w:pPr>
              <w:jc w:val="center"/>
              <w:ind w:right="367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14"/>
        </w:trPr>
        <w:tc>
          <w:tcPr>
            <w:tcW w:w="32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r>
      <w:tr>
        <w:trPr>
          <w:trHeight w:val="122"/>
        </w:trPr>
        <w:tc>
          <w:tcPr>
            <w:tcW w:w="3240" w:type="dxa"/>
            <w:vAlign w:val="bottom"/>
            <w:tcBorders>
              <w:left w:val="single" w:sz="8" w:color="auto"/>
              <w:bottom w:val="single" w:sz="8" w:color="auto"/>
            </w:tcBorders>
          </w:tcPr>
          <w:p>
            <w:pPr>
              <w:jc w:val="center"/>
              <w:ind w:left="608"/>
              <w:spacing w:after="0" w:line="102" w:lineRule="exact"/>
              <w:rPr>
                <w:sz w:val="20"/>
                <w:szCs w:val="20"/>
                <w:color w:val="auto"/>
              </w:rPr>
            </w:pPr>
            <w:r>
              <w:rPr>
                <w:rFonts w:ascii="Times New Roman" w:cs="Times New Roman" w:eastAsia="Times New Roman" w:hAnsi="Times New Roman"/>
                <w:sz w:val="11"/>
                <w:szCs w:val="11"/>
                <w:b w:val="1"/>
                <w:bCs w:val="1"/>
                <w:color w:val="auto"/>
              </w:rPr>
              <w:t>Title of each class</w:t>
            </w: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tcBorders>
            <w:gridSpan w:val="2"/>
          </w:tcPr>
          <w:p>
            <w:pPr>
              <w:jc w:val="center"/>
              <w:ind w:left="1007"/>
              <w:spacing w:after="0" w:line="102" w:lineRule="exact"/>
              <w:rPr>
                <w:sz w:val="20"/>
                <w:szCs w:val="20"/>
                <w:color w:val="auto"/>
              </w:rPr>
            </w:pPr>
            <w:r>
              <w:rPr>
                <w:rFonts w:ascii="Times New Roman" w:cs="Times New Roman" w:eastAsia="Times New Roman" w:hAnsi="Times New Roman"/>
                <w:sz w:val="11"/>
                <w:szCs w:val="11"/>
                <w:b w:val="1"/>
                <w:bCs w:val="1"/>
                <w:color w:val="auto"/>
              </w:rPr>
              <w:t>Trading symbol</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3660" w:type="dxa"/>
            <w:vAlign w:val="bottom"/>
            <w:tcBorders>
              <w:bottom w:val="single" w:sz="8" w:color="auto"/>
              <w:right w:val="single" w:sz="8" w:color="auto"/>
            </w:tcBorders>
          </w:tcPr>
          <w:p>
            <w:pPr>
              <w:ind w:left="540"/>
              <w:spacing w:after="0" w:line="102" w:lineRule="exact"/>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25"/>
        </w:trPr>
        <w:tc>
          <w:tcPr>
            <w:tcW w:w="3240" w:type="dxa"/>
            <w:vAlign w:val="bottom"/>
            <w:tcBorders>
              <w:left w:val="single" w:sz="8" w:color="auto"/>
              <w:bottom w:val="single" w:sz="8" w:color="auto"/>
            </w:tcBorders>
          </w:tcPr>
          <w:p>
            <w:pPr>
              <w:jc w:val="center"/>
              <w:ind w:left="588"/>
              <w:spacing w:after="0" w:line="125" w:lineRule="exact"/>
              <w:rPr>
                <w:sz w:val="20"/>
                <w:szCs w:val="20"/>
                <w:color w:val="auto"/>
              </w:rPr>
            </w:pPr>
            <w:r>
              <w:rPr>
                <w:rFonts w:ascii="Times New Roman" w:cs="Times New Roman" w:eastAsia="Times New Roman" w:hAnsi="Times New Roman"/>
                <w:sz w:val="14"/>
                <w:szCs w:val="14"/>
                <w:b w:val="1"/>
                <w:bCs w:val="1"/>
                <w:color w:val="auto"/>
              </w:rPr>
              <w:t>$0 Par Value Ordinary Shares</w:t>
            </w: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tcBorders>
            <w:gridSpan w:val="2"/>
          </w:tcPr>
          <w:p>
            <w:pPr>
              <w:jc w:val="center"/>
              <w:ind w:left="1007"/>
              <w:spacing w:after="0" w:line="125" w:lineRule="exact"/>
              <w:rPr>
                <w:sz w:val="20"/>
                <w:szCs w:val="20"/>
                <w:color w:val="auto"/>
              </w:rPr>
            </w:pPr>
            <w:r>
              <w:rPr>
                <w:rFonts w:ascii="Times New Roman" w:cs="Times New Roman" w:eastAsia="Times New Roman" w:hAnsi="Times New Roman"/>
                <w:sz w:val="14"/>
                <w:szCs w:val="14"/>
                <w:b w:val="1"/>
                <w:bCs w:val="1"/>
                <w:color w:val="auto"/>
              </w:rPr>
              <w:t>WVE</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3660" w:type="dxa"/>
            <w:vAlign w:val="bottom"/>
            <w:tcBorders>
              <w:bottom w:val="single" w:sz="8" w:color="auto"/>
              <w:right w:val="single" w:sz="8" w:color="auto"/>
            </w:tcBorders>
          </w:tcPr>
          <w:p>
            <w:pPr>
              <w:ind w:left="980"/>
              <w:spacing w:after="0" w:line="125" w:lineRule="exact"/>
              <w:rPr>
                <w:sz w:val="20"/>
                <w:szCs w:val="20"/>
                <w:color w:val="auto"/>
              </w:rPr>
            </w:pPr>
            <w:r>
              <w:rPr>
                <w:rFonts w:ascii="Times New Roman" w:cs="Times New Roman" w:eastAsia="Times New Roman" w:hAnsi="Times New Roman"/>
                <w:sz w:val="14"/>
                <w:szCs w:val="14"/>
                <w:b w:val="1"/>
                <w:bCs w:val="1"/>
                <w:color w:val="auto"/>
              </w:rPr>
              <w:t>The Nasdaq Global Market</w:t>
            </w:r>
          </w:p>
        </w:tc>
      </w:tr>
      <w:tr>
        <w:trPr>
          <w:trHeight w:val="267"/>
        </w:trPr>
        <w:tc>
          <w:tcPr>
            <w:tcW w:w="3240" w:type="dxa"/>
            <w:vAlign w:val="bottom"/>
          </w:tcPr>
          <w:p>
            <w:pPr>
              <w:spacing w:after="0"/>
              <w:rPr>
                <w:sz w:val="23"/>
                <w:szCs w:val="23"/>
                <w:color w:val="auto"/>
              </w:rPr>
            </w:pPr>
          </w:p>
        </w:tc>
        <w:tc>
          <w:tcPr>
            <w:tcW w:w="8000" w:type="dxa"/>
            <w:vAlign w:val="bottom"/>
            <w:gridSpan w:val="10"/>
          </w:tcPr>
          <w:p>
            <w:pPr>
              <w:jc w:val="center"/>
              <w:ind w:right="317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r>
      <w:tr>
        <w:trPr>
          <w:trHeight w:val="91"/>
        </w:trPr>
        <w:tc>
          <w:tcPr>
            <w:tcW w:w="3740" w:type="dxa"/>
            <w:vAlign w:val="bottom"/>
            <w:gridSpan w:val="2"/>
          </w:tcPr>
          <w:p>
            <w:pPr>
              <w:spacing w:after="0"/>
              <w:rPr>
                <w:sz w:val="7"/>
                <w:szCs w:val="7"/>
                <w:color w:val="auto"/>
              </w:rPr>
            </w:pPr>
          </w:p>
        </w:tc>
        <w:tc>
          <w:tcPr>
            <w:tcW w:w="2360" w:type="dxa"/>
            <w:vAlign w:val="bottom"/>
            <w:tcBorders>
              <w:bottom w:val="single" w:sz="8" w:color="auto"/>
            </w:tcBorders>
            <w:gridSpan w:val="2"/>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740" w:type="dxa"/>
            <w:vAlign w:val="bottom"/>
            <w:gridSpan w:val="2"/>
          </w:tcPr>
          <w:p>
            <w:pPr>
              <w:spacing w:after="0"/>
              <w:rPr>
                <w:sz w:val="7"/>
                <w:szCs w:val="7"/>
                <w:color w:val="auto"/>
              </w:rPr>
            </w:pPr>
          </w:p>
        </w:tc>
      </w:tr>
      <w:tr>
        <w:trPr>
          <w:trHeight w:val="206"/>
        </w:trPr>
        <w:tc>
          <w:tcPr>
            <w:tcW w:w="64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Yes</w:t>
            </w:r>
          </w:p>
        </w:tc>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24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27"/>
        </w:trPr>
        <w:tc>
          <w:tcPr>
            <w:tcW w:w="64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15(d) of the Act.    Yes</w:t>
            </w:r>
          </w:p>
        </w:tc>
        <w:tc>
          <w:tcPr>
            <w:tcW w:w="280" w:type="dxa"/>
            <w:vAlign w:val="bottom"/>
            <w:gridSpan w:val="2"/>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w:t>
            </w:r>
          </w:p>
        </w:tc>
        <w:tc>
          <w:tcPr>
            <w:tcW w:w="4240" w:type="dxa"/>
            <w:vAlign w:val="bottom"/>
            <w:gridSpan w:val="3"/>
          </w:tcPr>
          <w:p>
            <w:pPr>
              <w:ind w:left="40"/>
              <w:spacing w:after="0" w:line="131" w:lineRule="exact"/>
              <w:rPr>
                <w:sz w:val="20"/>
                <w:szCs w:val="20"/>
                <w:color w:val="auto"/>
              </w:rPr>
            </w:pPr>
            <w:r>
              <w:rPr>
                <w:rFonts w:ascii="MS PGothic" w:cs="MS PGothic" w:eastAsia="MS PGothic" w:hAnsi="MS PGothic"/>
                <w:sz w:val="13"/>
                <w:szCs w:val="13"/>
                <w:color w:val="auto"/>
              </w:rPr>
              <w:t>☒</w:t>
            </w:r>
          </w:p>
        </w:tc>
      </w:tr>
    </w:tbl>
    <w:p>
      <w:pPr>
        <w:spacing w:after="0" w:line="6"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30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6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2940"/>
              <w:spacing w:after="0"/>
              <w:rPr>
                <w:sz w:val="20"/>
                <w:szCs w:val="20"/>
                <w:color w:val="auto"/>
              </w:rPr>
            </w:pPr>
            <w:r>
              <w:rPr>
                <w:rFonts w:ascii="Times New Roman" w:cs="Times New Roman" w:eastAsia="Times New Roman" w:hAnsi="Times New Roman"/>
                <w:sz w:val="13"/>
                <w:szCs w:val="13"/>
                <w:color w:val="auto"/>
              </w:rPr>
              <w:t>Accelerated filer</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6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29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7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040" w:type="dxa"/>
            <w:vAlign w:val="bottom"/>
          </w:tcPr>
          <w:p>
            <w:pPr>
              <w:ind w:left="2940"/>
              <w:spacing w:after="0"/>
              <w:rPr>
                <w:sz w:val="20"/>
                <w:szCs w:val="20"/>
                <w:color w:val="auto"/>
              </w:rPr>
            </w:pPr>
            <w:r>
              <w:rPr>
                <w:rFonts w:ascii="Times New Roman" w:cs="Times New Roman" w:eastAsia="Times New Roman" w:hAnsi="Times New Roman"/>
                <w:sz w:val="13"/>
                <w:szCs w:val="13"/>
                <w:color w:val="auto"/>
              </w:rPr>
              <w:t>Emerging growth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bl>
    <w:p>
      <w:pPr>
        <w:jc w:val="both"/>
        <w:ind w:right="16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260" w:val="left"/>
          <w:tab w:leader="none" w:pos="67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3"/>
          <w:szCs w:val="13"/>
          <w:color w:val="auto"/>
        </w:rPr>
        <w:t>The aggregate market value of the registrant’s voting and non-voting ordinary shares held by non-affiliates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(June 30, 2025) was $851,013,538.</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outstanding ordinary shares of the registrant as of February 19, 2026 was 188,254,954.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67310</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3" w:lineRule="exact"/>
        <w:rPr>
          <w:sz w:val="24"/>
          <w:szCs w:val="24"/>
          <w:color w:val="auto"/>
        </w:rPr>
      </w:pPr>
    </w:p>
    <w:p>
      <w:pPr>
        <w:ind w:right="40"/>
        <w:spacing w:after="0" w:line="251" w:lineRule="auto"/>
        <w:rPr>
          <w:sz w:val="20"/>
          <w:szCs w:val="20"/>
          <w:color w:val="auto"/>
        </w:rPr>
      </w:pPr>
      <w:r>
        <w:rPr>
          <w:rFonts w:ascii="Times New Roman" w:cs="Times New Roman" w:eastAsia="Times New Roman" w:hAnsi="Times New Roman"/>
          <w:sz w:val="13"/>
          <w:szCs w:val="13"/>
          <w:color w:val="auto"/>
        </w:rPr>
        <w:t>If the Registrant’s Definitive Proxy Statement relating to the 2026 Annual General Meeting of Shareholders (the “Proxy Statement”) is filed with the Commission within 120 days after the end of the fiscal year covered by this Annual Report on Form 10-K, then portions of the Proxy Statement will be incorporated by reference into Part III of this Annual Report on Form 10-K. If the Proxy Statement is not filed within such 120-day period, then the Registrant will file an amendment to this Annual Report within such 120-day period that will contain the information required to be included or incorporated by reference into Part III of this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661035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80" w:type="dxa"/>
            <w:vAlign w:val="bottom"/>
            <w:gridSpan w:val="11"/>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rPr>
              <w:t>WAVE LIFE SCIENCES LTD.</w:t>
            </w:r>
          </w:p>
        </w:tc>
        <w:tc>
          <w:tcPr>
            <w:tcW w:w="80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80" w:type="dxa"/>
            <w:vAlign w:val="bottom"/>
            <w:gridSpan w:val="11"/>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8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80" w:type="dxa"/>
            <w:vAlign w:val="bottom"/>
            <w:gridSpan w:val="10"/>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0" w:type="dxa"/>
            <w:vAlign w:val="bottom"/>
          </w:tcPr>
          <w:p>
            <w:pPr>
              <w:spacing w:after="0"/>
              <w:rPr>
                <w:sz w:val="24"/>
                <w:szCs w:val="24"/>
                <w:color w:val="auto"/>
              </w:rPr>
            </w:pPr>
          </w:p>
        </w:tc>
      </w:tr>
      <w:tr>
        <w:trPr>
          <w:trHeight w:val="414"/>
        </w:trPr>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7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87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94"/>
        </w:trPr>
        <w:tc>
          <w:tcPr>
            <w:tcW w:w="1700" w:type="dxa"/>
            <w:vAlign w:val="bottom"/>
            <w:gridSpan w:val="5"/>
          </w:tcPr>
          <w:p>
            <w:pPr>
              <w:ind w:left="80"/>
              <w:spacing w:after="0" w:line="194"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9"/>
              </w:rPr>
              <w:t>Risk Factors</w:t>
            </w:r>
          </w:p>
        </w:tc>
        <w:tc>
          <w:tcPr>
            <w:tcW w:w="7820" w:type="dxa"/>
            <w:vAlign w:val="bottom"/>
            <w:gridSpan w:val="17"/>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668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7720" w:type="dxa"/>
            <w:vAlign w:val="bottom"/>
            <w:gridSpan w:val="1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8000" w:type="dxa"/>
            <w:vAlign w:val="bottom"/>
            <w:gridSpan w:val="1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7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7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412"/>
        </w:trPr>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680" w:type="dxa"/>
            <w:vAlign w:val="bottom"/>
            <w:tcBorders>
              <w:top w:val="single" w:sz="8" w:color="0000EE"/>
            </w:tcBorders>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020" w:type="dxa"/>
            <w:vAlign w:val="bottom"/>
            <w:gridSpan w:val="3"/>
          </w:tcPr>
          <w:p>
            <w:pPr>
              <w:spacing w:after="0"/>
              <w:rPr>
                <w:sz w:val="17"/>
                <w:szCs w:val="17"/>
                <w:color w:val="auto"/>
              </w:rPr>
            </w:pPr>
          </w:p>
        </w:tc>
        <w:tc>
          <w:tcPr>
            <w:tcW w:w="87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7300" w:type="dxa"/>
            <w:vAlign w:val="bottom"/>
            <w:tcBorders>
              <w:top w:val="single" w:sz="8" w:color="0000EE"/>
            </w:tcBorders>
            <w:gridSpan w:val="17"/>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6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2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40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7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EE"/>
            </w:tcBorders>
            <w:gridSpan w:val="10"/>
          </w:tcPr>
          <w:p>
            <w:pPr>
              <w:spacing w:after="0"/>
              <w:rPr>
                <w:sz w:val="17"/>
                <w:szCs w:val="17"/>
                <w:color w:val="auto"/>
              </w:rPr>
            </w:pPr>
          </w:p>
        </w:tc>
        <w:tc>
          <w:tcPr>
            <w:tcW w:w="226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7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7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412"/>
        </w:trPr>
        <w:tc>
          <w:tcPr>
            <w:tcW w:w="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940" w:type="dxa"/>
            <w:vAlign w:val="bottom"/>
            <w:gridSpan w:val="2"/>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87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EE"/>
            </w:tcBorders>
            <w:gridSpan w:val="5"/>
          </w:tcPr>
          <w:p>
            <w:pPr>
              <w:spacing w:after="0"/>
              <w:rPr>
                <w:sz w:val="17"/>
                <w:szCs w:val="17"/>
                <w:color w:val="auto"/>
              </w:rPr>
            </w:pPr>
          </w:p>
        </w:tc>
        <w:tc>
          <w:tcPr>
            <w:tcW w:w="464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44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7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28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434"/>
        </w:trPr>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1700" w:type="dxa"/>
            <w:vAlign w:val="bottom"/>
            <w:gridSpan w:val="5"/>
          </w:tcPr>
          <w:p>
            <w:pPr>
              <w:ind w:left="8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74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70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5580" w:type="dxa"/>
            <w:vAlign w:val="bottom"/>
            <w:gridSpan w:val="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48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Signatures</w:t>
            </w:r>
          </w:p>
        </w:tc>
        <w:tc>
          <w:tcPr>
            <w:tcW w:w="460" w:type="dxa"/>
            <w:vAlign w:val="bottom"/>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that relate to future events or to our future operations or financial performance.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although not all forward-looking statements contain these identifying words. Forward-looking statements include statements, other than statements of historical fact, about, among other things: our ability to fund our future operations; our financial position, revenues, costs, expenses, uses of cash and capital requirements; our need for additional financing or the period for which our existing cash resources will be sufficient to meet our operating requirements; the success, progress, number, scope, cost, duration, timing or results of our research and development activities, preclinical studies and clinical trials, including the timing for initiation or completion of or availability of results from any preclinical studies and clinical trials or for submission, review or approval of any regulatory filing; the timing of, and our ability to, obtain and maintain regulatory approvals for any of our product candidates; the potential benefits that may be derived from any of our product candidates; our strategies, prospects, plans, goals, expectations, forecasts or objectives; the success of our collaborations with third parties; any payment that our collaboration partners may make to us; our ability to identify and develop new product candidates; our intellectual property position; our commercialization, marketing and manufacturing capabilities and strategy; our ability to develop sales and marketing capabilities; our estimates regarding future expenses and needs for additional financing; our ability to identify, recruit and retain key personnel; our financial performance; developments and projections relating to our competitors in the industry; our liquidity and working capital requirements; the expected impact of new accounting standards; and our expectations regarding the impact of any local and global health epidemics on our business, including our research and development activities, preclinical studies and clinical trials, supply of drug product, and workforce.</w:t>
      </w:r>
    </w:p>
    <w:p>
      <w:pPr>
        <w:spacing w:after="0" w:line="8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Although we believe that we have a reasonable basis for each forward-looking statement contained in this report, we caution you that these statements are based on our estimates or projections of the future that are subject to known and unknown risks and uncertainties and other important factors that may cause our actual results, level of activity, performance or achievements expressed or implied by any forward-looking statement to differ. </w:t>
      </w:r>
      <w:r>
        <w:rPr>
          <w:rFonts w:ascii="Times New Roman" w:cs="Times New Roman" w:eastAsia="Times New Roman" w:hAnsi="Times New Roman"/>
          <w:sz w:val="18"/>
          <w:szCs w:val="18"/>
          <w:color w:val="212529"/>
        </w:rPr>
        <w:t>These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uncertainties and other factors include, among other things, our critical accounting policies; the ability of our preclinical studies to produce data sufficient to support the filing of global clinical trial applications and the timing thereof; our ability to continue to build and maintain the company infrastructure and personnel needed to achieve our goals; the clinical results and timing of our programs, which may not support further development of our product candidates; actions of regulatory agencies, which may affect the initiation, timing and progress of clinical trials; our effectiveness in managing current and future clinical trials and regulatory processes; the success of our platform in identifying viable candidates;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enforce our patents against infringers and defend our patent portfolio against challenges from third parties; our ability to fund our operations and to raise additional capital as needed; competition from others developing therapies for similar uses; </w:t>
      </w:r>
      <w:r>
        <w:rPr>
          <w:rFonts w:ascii="Times New Roman" w:cs="Times New Roman" w:eastAsia="Times New Roman" w:hAnsi="Times New Roman"/>
          <w:sz w:val="18"/>
          <w:szCs w:val="18"/>
          <w:color w:val="000000"/>
        </w:rPr>
        <w:t>and any impacts on our business as a result of or related to any local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global health epidemics, geopolitical conflicts, global economic uncertainty, the impact of tariffs and changes in economic policies, volatility in inflation, volatility in interest rates or market disruptions on our business, as well as other risks and uncertainties under the “Risk Factors” section of this Annual Report on Form 10-K and in other filings we make with the Securities and Exchange Commission (the “SEC”).</w:t>
      </w:r>
    </w:p>
    <w:p>
      <w:pPr>
        <w:spacing w:after="0" w:line="8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forward-looking statement contained in this report is based on a combination of facts and factors currently known by us and our expectations of the future, about which we cannot be certain.</w:t>
      </w:r>
    </w:p>
    <w:p>
      <w:pPr>
        <w:spacing w:after="0" w:line="5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a result of these factors, we cannot assure you that the forward-looking statements in this Annual Report on Form 10-K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timeframe, or at all. We caution you not to place undue reliance on any forward-looking statement.</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any forward-looking statement in this report represents our views only as of the date of this report and should not be relied upon as representing our views as of any subsequent date. We anticipate that subsequent events and developments may cause our views to change. Although we may elect to update these forward-looking statements publicly at some point in the future, we undertake no obligation to publicly update any forward-looking statements, whether as a result of new information, future events or otherwise, except as required by applicable law. Our forward-looking statements do not reflect the potential impact of any future acquisitions, mergers, dispositions, joint ventures or investments we may make.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right="360"/>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unless otherwise stated or the context otherwise indicates, references to “Wave,” the “Company,” “we,” “our,” “us” or similar terms refer to Wave Life Sciences Ltd. and our wholly-owned subsidiaries.</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Wave Life Sciences Ltd. and Wave Life Sciences Pte. Ltd. names, the Wave Life Sciences mark, PRISM and the other registered and pending trademarks, trade names and service marks of Wave Life Sciences Ltd. appearing in this Annual Report on Form 10-K are the property of Wave Life Sciences Ltd. This Annual Report on Form 10-K also contains additional trade names, trademarks and service marks belonging to Wave Life Sciences Ltd.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Annual Report on Form 10-K are referred to without the ® and ™ symbols, but such reference should not be construed as any indicator that their respective owners will not assert, to the fullest extent under applicable law, their rights thereto.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74" w:lineRule="exact"/>
        <w:rPr>
          <w:sz w:val="20"/>
          <w:szCs w:val="20"/>
          <w:color w:val="auto"/>
        </w:rPr>
      </w:pPr>
    </w:p>
    <w:p>
      <w:pPr>
        <w:ind w:left="380" w:right="16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biotechnology company with a history of losses, and we expect to continue to incur losses for the foreseeable future, and we may never achieve or maintain profitability.</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which may not be available on acceptable terms, or at all.</w:t>
      </w:r>
    </w:p>
    <w:p>
      <w:pPr>
        <w:spacing w:after="0" w:line="117" w:lineRule="exact"/>
        <w:rPr>
          <w:rFonts w:ascii="Times New Roman" w:cs="Times New Roman" w:eastAsia="Times New Roman" w:hAnsi="Times New Roman"/>
          <w:sz w:val="18"/>
          <w:szCs w:val="18"/>
          <w:color w:val="auto"/>
        </w:rPr>
      </w:pPr>
    </w:p>
    <w:p>
      <w:pPr>
        <w:ind w:left="380" w:right="12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broad discretion over the use of proceeds received from sales of our securities and our collaborations with third parties and the proceeds may not be used effectively.</w:t>
      </w:r>
    </w:p>
    <w:p>
      <w:pPr>
        <w:spacing w:after="0" w:line="53"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history as a clinical-stage biotechnology company may make it difficult for shareholders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approach we are taking to discover and develop RNA medicines is novel and may never lead to marketable products.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conduct clinical trials successfully due to various process-related factors that could negatively impact our business plans.</w:t>
      </w:r>
    </w:p>
    <w:p>
      <w:pPr>
        <w:spacing w:after="0" w:line="117"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successfully manufacture our product candidates for our research and development and preclinical activities, or manufacture sufficient amounts of our product candidates to meet our clinical requirements and timelines, our business may be materially harmed.</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early clinical trials may not be predictive of results of subsequent clinical trials.</w:t>
      </w:r>
    </w:p>
    <w:p>
      <w:pPr>
        <w:spacing w:after="0" w:line="117"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in the United States or foreign jurisdictions and, as a result, be unable to commercialize our product candidates and our ability to generate revenue will be materially impaired.</w:t>
      </w:r>
    </w:p>
    <w:p>
      <w:pPr>
        <w:spacing w:after="0" w:line="53" w:lineRule="exact"/>
        <w:rPr>
          <w:rFonts w:ascii="Times New Roman" w:cs="Times New Roman" w:eastAsia="Times New Roman" w:hAnsi="Times New Roman"/>
          <w:sz w:val="18"/>
          <w:szCs w:val="18"/>
          <w:color w:val="auto"/>
        </w:rPr>
      </w:pPr>
    </w:p>
    <w:p>
      <w:pPr>
        <w:jc w:val="both"/>
        <w:ind w:left="380" w:right="8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approvals, our marketed drugs will be subject to ongoing regulatory oversight. If we or our collaborators fail to comply with continuing U.S. and foreign requirements, our approvals, if obtained, could be limited or withdrawn, we could be subject to other penalties, and our business would be seriously harmed.</w:t>
      </w:r>
    </w:p>
    <w:p>
      <w:pPr>
        <w:spacing w:after="0" w:line="67" w:lineRule="exact"/>
        <w:rPr>
          <w:rFonts w:ascii="Times New Roman" w:cs="Times New Roman" w:eastAsia="Times New Roman" w:hAnsi="Times New Roman"/>
          <w:sz w:val="18"/>
          <w:szCs w:val="18"/>
          <w:color w:val="auto"/>
        </w:rPr>
      </w:pPr>
    </w:p>
    <w:p>
      <w:pPr>
        <w:ind w:left="380" w:right="24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pharmaceutical industry is intensely competitive. If we are unable to compete effectively with existing drugs, new treatment methods and new technologies, we may be unable to successfully commercialize any drugs that we develop.</w:t>
      </w:r>
    </w:p>
    <w:p>
      <w:pPr>
        <w:spacing w:after="0" w:line="53"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operations outside of the United States and developments in international trade by the U.S. and foreign governments could adversely affect our business.</w:t>
      </w:r>
    </w:p>
    <w:p>
      <w:pPr>
        <w:spacing w:after="0" w:line="53" w:lineRule="exact"/>
        <w:rPr>
          <w:rFonts w:ascii="Times New Roman" w:cs="Times New Roman" w:eastAsia="Times New Roman" w:hAnsi="Times New Roman"/>
          <w:sz w:val="18"/>
          <w:szCs w:val="18"/>
          <w:color w:val="auto"/>
        </w:rPr>
      </w:pPr>
    </w:p>
    <w:p>
      <w:pPr>
        <w:ind w:left="380" w:right="6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 parties upon whom we depend, may face risks related to natural disasters and/or local and global health epidemics, which may delay our ability to complete our ongoing clinical trials, initiate additional clinical trials, delay regulatory activities and have other adverse effects on our business and operations.</w:t>
      </w:r>
    </w:p>
    <w:p>
      <w:pPr>
        <w:spacing w:after="0" w:line="67" w:lineRule="exact"/>
        <w:rPr>
          <w:rFonts w:ascii="Times New Roman" w:cs="Times New Roman" w:eastAsia="Times New Roman" w:hAnsi="Times New Roman"/>
          <w:sz w:val="18"/>
          <w:szCs w:val="18"/>
          <w:color w:val="auto"/>
        </w:rPr>
      </w:pPr>
    </w:p>
    <w:p>
      <w:pPr>
        <w:ind w:left="380" w:right="20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execute our business strategy optimally if we are unable to maintain our existing collaborations or enter into new collaborations with partners that can provide sales, marketing and distribution capabilities and funds for the development and commercialization of our product candidates.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 w:name="page5"/>
    <w:bookmarkEnd w:id="4"/>
    <w:p>
      <w:pPr>
        <w:jc w:val="both"/>
        <w:ind w:left="380" w:right="52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some aspects of our compound formulation, research, preclinical studies and clinical trials, and those third parties may not perform satisfactorily, including failing to meet deadlines for the completion of such formulation, research or testing.</w:t>
      </w:r>
    </w:p>
    <w:p>
      <w:pPr>
        <w:spacing w:after="0" w:line="67" w:lineRule="exact"/>
        <w:rPr>
          <w:rFonts w:ascii="Times New Roman" w:cs="Times New Roman" w:eastAsia="Times New Roman" w:hAnsi="Times New Roman"/>
          <w:sz w:val="18"/>
          <w:szCs w:val="18"/>
          <w:color w:val="auto"/>
        </w:rPr>
      </w:pPr>
    </w:p>
    <w:p>
      <w:pPr>
        <w:ind w:left="38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67"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key management and scientists, staff, consultants and advisors, our ability to implement our business plan may be adversely affected.</w:t>
      </w:r>
    </w:p>
    <w:p>
      <w:pPr>
        <w:spacing w:after="0" w:line="53" w:lineRule="exact"/>
        <w:rPr>
          <w:rFonts w:ascii="Times New Roman" w:cs="Times New Roman" w:eastAsia="Times New Roman" w:hAnsi="Times New Roman"/>
          <w:sz w:val="18"/>
          <w:szCs w:val="18"/>
          <w:color w:val="auto"/>
        </w:rPr>
      </w:pPr>
    </w:p>
    <w:p>
      <w:pPr>
        <w:ind w:left="380" w:right="38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and enforce market exclusivity for our technologies or product candidates, development and commercialization of our product candidates may be adversely affected.</w:t>
      </w:r>
    </w:p>
    <w:p>
      <w:pPr>
        <w:spacing w:after="0" w:line="53" w:lineRule="exact"/>
        <w:rPr>
          <w:rFonts w:ascii="Times New Roman" w:cs="Times New Roman" w:eastAsia="Times New Roman" w:hAnsi="Times New Roman"/>
          <w:sz w:val="18"/>
          <w:szCs w:val="18"/>
          <w:color w:val="auto"/>
        </w:rPr>
      </w:pPr>
    </w:p>
    <w:p>
      <w:pPr>
        <w:jc w:val="both"/>
        <w:ind w:left="380" w:right="16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license patent rights from third-party owners or licensees. If such owners or licensees do not properly or successfully obtain, maintain or enforce the patents underlying such licenses, or if they retain or license to others any competing rights, our competitive position and business prospects may be adversely affected.</w:t>
      </w:r>
    </w:p>
    <w:p>
      <w:pPr>
        <w:spacing w:after="0" w:line="67" w:lineRule="exact"/>
        <w:rPr>
          <w:rFonts w:ascii="Times New Roman" w:cs="Times New Roman" w:eastAsia="Times New Roman" w:hAnsi="Times New Roman"/>
          <w:sz w:val="18"/>
          <w:szCs w:val="18"/>
          <w:color w:val="auto"/>
        </w:rPr>
      </w:pPr>
    </w:p>
    <w:p>
      <w:pPr>
        <w:ind w:left="380" w:right="30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or organizations may challenge our or our licensors’ patent rights or may assert patent rights that prevent us from developing and commercializing our products.</w:t>
      </w:r>
    </w:p>
    <w:p>
      <w:pPr>
        <w:spacing w:after="0" w:line="53" w:lineRule="exact"/>
        <w:rPr>
          <w:rFonts w:ascii="Times New Roman" w:cs="Times New Roman" w:eastAsia="Times New Roman" w:hAnsi="Times New Roman"/>
          <w:sz w:val="18"/>
          <w:szCs w:val="18"/>
          <w:color w:val="auto"/>
        </w:rPr>
      </w:pPr>
    </w:p>
    <w:p>
      <w:pPr>
        <w:jc w:val="both"/>
        <w:ind w:left="380" w:right="32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 or at all.</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incorporated in Singapore and our shareholders may have more difficulty in protecting their interests than they would as shareholders of a corporation incorporated in the United States.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laws of Singapore, which differ in certain material respects from the laws of the United States.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market may not be liquid enough for our shareholders to sell their ordinary shares quickly or at market price, or at all.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ordinary shares is likely to be highly volatile, and our shareholders may lose some or all of their investment.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We are a clinical-stage biotechnology company focused on unlocking the broad potential of ribonucleic acid (“RNA”) medicines (also known as oligonucleotides), or those targeting RNA, to transform human health. Our RNA medicines platform, PRISM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combines multiple modalities, chemistry innovation and deep insights into human genetics to deliver scientific breakthroughs that treat both rare and common disorders. Our toolkit of RNA-targeting modalities, including RNAi (SpiNA) and RNA editing (AIMers), provides us with unmatched capabilities for designing and sustainably delivering candidates that optimally address disease biology. Our pipeline is focused on our obesity (WVE-007), alpha-1 antitrypsin deficiency (“AATD”) (WVE-006) and PNPLA3 I148M liver disease (WVE-008) programs, and also includes clinical programs for Duchenne muscular dystrophy (“DMD”) and Huntington’s disease (“HD”), as well as several preclinical programs utilizing our versatile RNA medicines platform.</w:t>
      </w:r>
    </w:p>
    <w:p>
      <w:pPr>
        <w:spacing w:after="0" w:line="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were founded on the recognition that there was a significant, untapped opportunity to use chemistry innovation to tune the pharmacological properties of oligonucleotides. We have more than a decade of experience challenging convention related to oligonucleotide design and pioneering novel chemistry modifications to optimize the pharmacological properties of our molecules. We have seen in clinical trials that these chemistry modifications enhance potency, distribution, and durability of effect of our molecules. Our novel chemistry also allows us to avoid using complex delivery vehicles, such as lipid nanoparticles and viruses, and instead use clinically proven conjugates (</w:t>
      </w:r>
      <w:r>
        <w:rPr>
          <w:rFonts w:ascii="Times New Roman" w:cs="Times New Roman" w:eastAsia="Times New Roman" w:hAnsi="Times New Roman"/>
          <w:sz w:val="18"/>
          <w:szCs w:val="18"/>
          <w:i w:val="1"/>
          <w:iCs w:val="1"/>
          <w:color w:val="auto"/>
        </w:rPr>
        <w:t>e.g., N</w:t>
      </w:r>
      <w:r>
        <w:rPr>
          <w:rFonts w:ascii="Times New Roman" w:cs="Times New Roman" w:eastAsia="Times New Roman" w:hAnsi="Times New Roman"/>
          <w:sz w:val="18"/>
          <w:szCs w:val="18"/>
          <w:color w:val="auto"/>
        </w:rPr>
        <w:t>-acetylgalactosamine or (“GalNAc”)) or free uptake for delivery to a variety of cell and tissue types. We maintain strong and broad intellectual property, including for our novel chemistry modifications.</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best-in-class chemistry capabilities have also unlocked new areas of biology, such as harnessing adenosine deaminases acting on RNA (“ADAR”) enzymes for messenger RNA (“mRNA”) correction and upregulation, selectively silencing a mutant allele, and more. By opening up new areas of biology, we have also opened up new opportunities to slow, stop, or reverse disease and have expanded the possibilities offered through our platform.</w:t>
      </w:r>
    </w:p>
    <w:p>
      <w:pPr>
        <w:spacing w:after="0" w:line="6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The inspiration for our multimodal platform is based on the recognition that the biological machinery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enzymes) needed to address human disease already exists within our cells and can be harnessed for therapeutic purposes with the right tools. We believe that we have built the most versatile toolkit of RNA-targeting modalities in the industry, with multiple means of repairing, restoring, or reducing proteins and designing best-fit solutions based on the unique biology of a given disease target. We are actively advancing programs across modalities, including RNA interference (“RNAi”) (silencing), RNA editing, which uses novel A-to-I RNA editing oligonucleotides (“AIMers”), antisense silencing, and splicing. We have also advanced novel bifunctional modalities designed to silence multiple targets or silence one target while simultaneously editing or upregulating another unique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6172200" cy="2802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6" w:name="page7"/>
    <w:bookmarkEnd w:id="6"/>
    <w:p>
      <w:pPr>
        <w:ind w:right="480"/>
        <w:spacing w:after="0" w:line="282" w:lineRule="auto"/>
        <w:rPr>
          <w:sz w:val="20"/>
          <w:szCs w:val="20"/>
          <w:color w:val="auto"/>
        </w:rPr>
      </w:pPr>
      <w:r>
        <w:rPr>
          <w:rFonts w:ascii="Times New Roman" w:cs="Times New Roman" w:eastAsia="Times New Roman" w:hAnsi="Times New Roman"/>
          <w:sz w:val="18"/>
          <w:szCs w:val="18"/>
          <w:color w:val="auto"/>
        </w:rPr>
        <w:t>We intentionally focus on targeting the transcriptome using oligonucleotides rather than other nucleic acid modalities such as gene therapy and DNA editing. This focus enables us to:</w:t>
      </w:r>
    </w:p>
    <w:p>
      <w:pPr>
        <w:spacing w:after="0" w:line="162" w:lineRule="exact"/>
        <w:rPr>
          <w:sz w:val="20"/>
          <w:szCs w:val="20"/>
          <w:color w:val="auto"/>
        </w:rPr>
      </w:pPr>
    </w:p>
    <w:p>
      <w:pPr>
        <w:ind w:left="880" w:right="640" w:hanging="378"/>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diversity of expression across cell types by modulating the many regulatory pathways that impact gene expression, including transcription, endogenous RNAi pathways, splicing, and translation;</w:t>
      </w:r>
    </w:p>
    <w:p>
      <w:pPr>
        <w:spacing w:after="0" w:line="161"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diseases that have historically been difficult to treat with small molecules or biologics;</w:t>
      </w:r>
    </w:p>
    <w:p>
      <w:pPr>
        <w:spacing w:after="0" w:line="225" w:lineRule="exact"/>
        <w:rPr>
          <w:rFonts w:ascii="Times New Roman" w:cs="Times New Roman" w:eastAsia="Times New Roman" w:hAnsi="Times New Roman"/>
          <w:sz w:val="18"/>
          <w:szCs w:val="18"/>
          <w:color w:val="auto"/>
        </w:rPr>
      </w:pPr>
    </w:p>
    <w:p>
      <w:pPr>
        <w:ind w:left="880" w:right="240" w:hanging="378"/>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 variety of tissue types or cell types throughout the body and modulate the frequency of dosing for broad distribution in tissues over time;</w:t>
      </w:r>
    </w:p>
    <w:p>
      <w:pPr>
        <w:spacing w:after="0" w:line="161"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risk of permanent off-target genetic changes and other challenges associated with DNA editing or gene therapy approaches; and</w:t>
      </w:r>
    </w:p>
    <w:p>
      <w:pPr>
        <w:spacing w:after="0" w:line="225"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well-established industry manufacturing processes and regulatory, access, and reimbursement pathways.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currently prioritizing lead programs that use GalNAc delivery for hepatic and metabolic diseases, each of which have potential to translate powerful human genetic insights into potentially transformational RNA medicines:</w:t>
      </w:r>
    </w:p>
    <w:p>
      <w:pPr>
        <w:spacing w:after="0" w:line="162" w:lineRule="exact"/>
        <w:rPr>
          <w:sz w:val="20"/>
          <w:szCs w:val="20"/>
          <w:color w:val="auto"/>
        </w:rPr>
      </w:pPr>
    </w:p>
    <w:p>
      <w:pPr>
        <w:ind w:left="880" w:hanging="378"/>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WVE-007 is a GalNAc-conjugated siRNA (SpiNA design) targeting inhibin βE (“INHBE”) for obesity;</w:t>
      </w:r>
    </w:p>
    <w:p>
      <w:pPr>
        <w:spacing w:after="0" w:line="225"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WVE-006 is a GalNAc-conjugated RNA editing oligonucleotide (AIMer) for AATD;</w:t>
      </w:r>
    </w:p>
    <w:p>
      <w:pPr>
        <w:spacing w:after="0" w:line="225"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WVE-008 is a GalNAc-conjugated RNA editing oligonucleotide (AIMer) for PNPLA3 I148M liver disease.</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clinical-stage portfolio also includes WVE-N531, an exon 53 splicing oligonucleotide for DMD, and WVE-003, an allele-selective oligonucleotide designed to lower mutant huntingtin (“mHTT”) protein and preserve healthy, wild-type huntingtin (“wtHTT”) protein. We are also advancing several emerging siRNA and RNA editing programs targeting both hepatic and extra-hepatic tissues.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88265</wp:posOffset>
            </wp:positionV>
            <wp:extent cx="6172200" cy="2588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details regarding our lead therapeutic programs are set forth below.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auto"/>
        </w:rPr>
        <w:t>Obesity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and Market Opportunity</w:t>
      </w:r>
    </w:p>
    <w:p>
      <w:pPr>
        <w:spacing w:after="0" w:line="11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Obesity is increasingly being recognized as a growing global epidemic. In the United States, an estimated 42% of the adult population is living with obesity, and there are an estimated 175 million people in the United States and Europe and over one billion people globally, living with obesity. Adults with obesity have higher risk for many serious health conditions, including heart disease, type 2 diabetes, and some forms of cancer; and obesity is estimated to cost the U.S. healthcare system almost $173 billion annually.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are two GLP-1 receptor agonists (“GLP-1s”) approved in the United States and the European Union (“EU”) for the treatment of obesity: Saxenda (liraglutide, Novo Nordisk) and Wegovy (semaglutide, Novo Nordisk). Tirzepatide (Eli Lilly), approved as Zepbound by the U.S. Food and Drug Administration (“FDA”) and as Mounjaro by the European Medicines Agency (“EMA”) in November 2023, is a GLP-1/GIP receptor agonist. Other FDA-approved therapies for obesity include Xenical (H2-Pharma, approved in the United States in 1999), Qsymia (Vivus, approved in the United States in 2012), and Contrave (Currax Pharmaceuticals, approved in the United States in 2014).</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Although GLP-1s induce weight loss, there remains a substantial unmet need in obesity, as GLP-1s lead to weight loss at the expense of muscle mass. For instance, in a Phase 3 study of semaglutide, 34% of total weight loss was from loss of lean mass (King 2021), and in a Phase 3 study of tirzepatide, treatment led to an approximately 34% loss in fat mass and an approximately 11% loss in lean mass (Jastreboff 2022). GLP-1s have also been shown to suppress the general reward system and are associated with a poor tolerability profile, frequent (weekly) administration, and discontinuation rates up to 68%.</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Obesity Program</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WVE-007 is a GalNAc-siRNA, that utilizes Wave’s proprietary design (“SpiNA”). WVE-007 is designed to silence INHBE mRNA to induce fat loss by stimulating lipolysis (fat breakdown) while preserving muscle mass to promote and maintain a healthy metabolic profile. Heterozygous INHBE loss-of-function (“LoF”) human carriers exhibit a healthy metabolic profile, including reduced waist-to-hip ratio and reduced odds of developing type 2 diabetes or coronary artery disease, and reduction of INHBE by 50% or more is expected to promote a healthy metabolic profile.</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preclinical diet-induced obesity (“DIO”) mouse models, a single dose of our INHBE GalNAc-siRNA has demonstrated highly potent and durable INHBE silencing (and &gt;70% Activin E reductions), supporting once or twice a year subcutaneous dosing in humans. Weight loss was driven by visceral fat loss, and muscle mass was preserved in the mice, which is consistent with the profile of human INHBE LoF carriers. In DIO mice studies, a single dose of our INHBE GalNAc-siRNA led to a weight loss effect that was similar to daily subcutaneous injections of semaglutide for 28 days. We also observed a decrease in high fat diet-induced expansion of visceral adipose mass. This reduction of visceral fat mass was associated with significant shrinkage of adipocyte enlargement induced by a high fat diet compared with phosphate-buffered saline (“PBS”) treatment. Collectively, these results support the promotion of healthy adipose tissue with this mechanism of action, while muscle mass was preserved.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131445</wp:posOffset>
            </wp:positionV>
            <wp:extent cx="5760720" cy="2185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Stats: (left, middle, right) Linear Mixed Effects ANOVA with post hoc comparisons of marginal treatment effects vs. PBS per timepoint (left) or per tissue (middle, right) * p &lt; 0.05</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8" w:name="page9"/>
    <w:bookmarkEnd w:id="8"/>
    <w:p>
      <w:pPr>
        <w:ind w:right="260"/>
        <w:spacing w:after="0" w:line="266" w:lineRule="auto"/>
        <w:rPr>
          <w:sz w:val="20"/>
          <w:szCs w:val="20"/>
          <w:color w:val="auto"/>
        </w:rPr>
      </w:pPr>
      <w:r>
        <w:rPr>
          <w:rFonts w:ascii="Times New Roman" w:cs="Times New Roman" w:eastAsia="Times New Roman" w:hAnsi="Times New Roman"/>
          <w:sz w:val="18"/>
          <w:szCs w:val="18"/>
          <w:color w:val="auto"/>
        </w:rPr>
        <w:t>In a head-to-head study in DIO mice, treatment with our INHBE GalNAc-siRNA prior to cessation of semaglutide treatment curtailed expected rebound weight gain. When administered as an add-on to semaglutide, a single dose of our INHBE GalNAc-siRNA doubled the weight loss observed with semaglutide alone, and this effect was sustained throughout the duration of the preclinical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123190</wp:posOffset>
            </wp:positionV>
            <wp:extent cx="6172200" cy="2649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line="244" w:lineRule="auto"/>
        <w:rPr>
          <w:sz w:val="20"/>
          <w:szCs w:val="20"/>
          <w:color w:val="auto"/>
        </w:rPr>
      </w:pPr>
      <w:r>
        <w:rPr>
          <w:rFonts w:ascii="Times New Roman" w:cs="Times New Roman" w:eastAsia="Times New Roman" w:hAnsi="Times New Roman"/>
          <w:sz w:val="14"/>
          <w:szCs w:val="14"/>
          <w:i w:val="1"/>
          <w:iCs w:val="1"/>
          <w:color w:val="auto"/>
        </w:rPr>
        <w:t>Left: 10 nmol/kg in mouse is equivalent to therapeutic dose of GLP-1s in human. Stats: Linear Mixed Effects ANOVA with post hoc comparisons of marginal treatment effects of Semaglutide vs. Semaglutide + INHBE GalNAc-siRNA per time point * p &lt; 0.05; Right Stats: Linear Mixed Effects ANOVA with post hoc comparison of Day 28 vs. Day 56 marginal effects per treatment * p &lt; 0.05</w:t>
      </w:r>
    </w:p>
    <w:p>
      <w:pPr>
        <w:spacing w:after="0" w:line="3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preclinical studies, we have also observed that infiltration of macrophages into visceral adipose was significantly decreased by a single dose of INHBE GalNAc-siRNA compared with PBS controls. INHBE GalNAc-siRNA also significantly reduced proinflammatory M1 macrophage (CD11c positive) while sustaining levels of anti-inflammatory M2 macrophages in visceral fat, indicating an overall shift away from a pro-inflammatory state. Further, RNA sequencing data from subcutaneous adipose tissue indicates that INHBE GalNAc-siRNA leads to the upregulation of genes promoting insulin sensitivity, fatty acid utilization and beiging of white adipose, while downregulating adipose inflammation and fibrosis pathways. RNA sequencing data from visceral adipose tissue demonstrate that our INHBE GalNAc-siRNA increased glucose and fatty acid utilization, and reduced inflammation and fibrosis in adipose tissue.</w:t>
      </w:r>
    </w:p>
    <w:p>
      <w:pPr>
        <w:spacing w:after="0" w:line="81"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8"/>
          <w:szCs w:val="18"/>
          <w:color w:val="auto"/>
        </w:rPr>
        <w:t>INLIGHT™ is our first-in-human clinical trial of WVE-007 in individuals living with obesity. The Phase 1 single ascending dose (“SAD”) portion of INLIGHT includes otherwise healthy adults living with overweight or obesity to assess safety, tolerability, pharmacokinetics (“PK”), Activin E, body weight, biomarkers and body composition as measured by DEXA. Key inclusion criteria for the SAD portion of INLIGHT include hemoglobin A1c (“HbA1c”) of less than 5.9 and BMI between 28 and 35 kg/m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The SAD portion of INLIGHT does not include any diet or exercise modifications.</w:t>
      </w:r>
    </w:p>
    <w:p>
      <w:pPr>
        <w:spacing w:after="0" w:line="3"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8"/>
          <w:szCs w:val="18"/>
          <w:color w:val="auto"/>
        </w:rPr>
        <w:t>In December 2025, we announced positive interim data from the ongoing Phase 1, SAD portion of INLIGHT, including three-month follow-up from the single subcutaneous 240 mg dose cohort in 32 individuals with an approximate mean baseline BMI of 32 kg/m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 population with less visceral and subcutaneous fat than typical obesity studies. Key highlights include:</w:t>
      </w:r>
    </w:p>
    <w:p>
      <w:pPr>
        <w:spacing w:after="0" w:line="1" w:lineRule="exact"/>
        <w:rPr>
          <w:sz w:val="20"/>
          <w:szCs w:val="20"/>
          <w:color w:val="auto"/>
        </w:rPr>
      </w:pPr>
    </w:p>
    <w:p>
      <w:pPr>
        <w:ind w:left="760" w:right="54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240 mg dose of WVE-007 demonstrated improved body composition with fat loss similar to GLP-1 at three months, with muscle preservation.</w:t>
      </w:r>
    </w:p>
    <w:p>
      <w:pPr>
        <w:ind w:left="760" w:right="6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baseline, a single dose of WVE-007 improved body composition and led to a 9.4% reduction in visceral fat (p=0.02), a 4.5% reduction in total body fat (3.5 lbs; p=0.07), and a 3.2% increase in lean mass (4.0 lbs; p=0.01) as measured by DEXA scan at Day 85. No statistically significant changes from baseline in these parameters were observed in the placebo group (0.2% reduction in visceral fat, 0.5% reduction in total body fat, 2.3% increase in lean mass).</w:t>
      </w:r>
    </w:p>
    <w:p>
      <w:pPr>
        <w:spacing w:after="0" w:line="1"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adjusting for placebo, a single dose of WVE-007 led to a 9.2% reduction in visceral fat, a 4.0% reduction in total fat mass, a 0.9% increase in lean mass, and a 0.9% decrease in total mass from baseline as measured by DEXA.</w:t>
      </w:r>
    </w:p>
    <w:p>
      <w:pPr>
        <w:ind w:left="760" w:right="10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and durable serum Activin E reductions were observed across participants and support WVE-007’s potential for once or twice-yearly dosing.</w:t>
      </w:r>
    </w:p>
    <w:p>
      <w:pPr>
        <w:ind w:left="760" w:right="200" w:hanging="378"/>
        <w:spacing w:after="0" w:line="26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reductions in serum Activin E of 78% were observed 43 days post a single 240 mg dose. Mean reductions of greater than 75% were maintained at least up to Day 85, the end of the data cut.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right="280"/>
        <w:spacing w:after="0" w:line="266" w:lineRule="auto"/>
        <w:rPr>
          <w:sz w:val="20"/>
          <w:szCs w:val="20"/>
          <w:color w:val="auto"/>
        </w:rPr>
      </w:pPr>
      <w:r>
        <w:rPr>
          <w:rFonts w:ascii="Times New Roman" w:cs="Times New Roman" w:eastAsia="Times New Roman" w:hAnsi="Times New Roman"/>
          <w:sz w:val="18"/>
          <w:szCs w:val="18"/>
          <w:color w:val="auto"/>
        </w:rPr>
        <w:t>WVE-007 was generally safe and well tolerated across all dose levels (75 mg, 240 mg, 400 mg, and 600 mg). There were no discontinuations, and no severe or serious treatment emergent adverse events (“TEAEs”). All TEAEs were mild or moderate, and all treatment-related adverse events were mild. There were no clinically meaningful changes in laboratory measurements, including lipid profiles and liver function tests.</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INLIGHT clinical trial is currently ongoing with 240 mg (n=32), 400 mg (n=32), and 600 mg (n=32) cohorts fully dosed. INLIGHT is ongoing at multiple trial sites including in the US, following clearance of an Investigational New Drug (“IND”) application. In the first quarter of 2026, we expect to deliver six-month follow-up data from Cohort 2 (240 mg) and three-month follow-up data from Cohort 3 (400 mg). Planning is underway to initiate the Phase 2a multidose (“MAD”) portion of the ongoing INLIGHT clinical trial in individuals living with higher BMI and comorbidities in the first half of 2026. We also expect to initiate new clinical trials evaluating WVE-007 as an incretin add-on and as post-incretin maintenance in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Alpha-1 antitrypsin deficiency (“AATD”)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and Market Opportunity</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We are leveraging our RNA editing platform capability to develop a first-in-class treatment for AATD. AATD is a rare, inherited genetic disorder that is commonly caused by a G-to-A point mutation in the </w:t>
      </w:r>
      <w:r>
        <w:rPr>
          <w:rFonts w:ascii="Times New Roman" w:cs="Times New Roman" w:eastAsia="Times New Roman" w:hAnsi="Times New Roman"/>
          <w:sz w:val="18"/>
          <w:szCs w:val="18"/>
          <w:i w:val="1"/>
          <w:iCs w:val="1"/>
          <w:color w:val="auto"/>
        </w:rPr>
        <w:t>SERPINA1</w:t>
      </w:r>
      <w:r>
        <w:rPr>
          <w:rFonts w:ascii="Times New Roman" w:cs="Times New Roman" w:eastAsia="Times New Roman" w:hAnsi="Times New Roman"/>
          <w:sz w:val="18"/>
          <w:szCs w:val="18"/>
          <w:color w:val="auto"/>
        </w:rPr>
        <w:t xml:space="preserve"> gene; this mutant allele is termed the </w:t>
      </w:r>
      <w:r>
        <w:rPr>
          <w:rFonts w:ascii="Times New Roman" w:cs="Times New Roman" w:eastAsia="Times New Roman" w:hAnsi="Times New Roman"/>
          <w:sz w:val="18"/>
          <w:szCs w:val="18"/>
          <w:i w:val="1"/>
          <w:iCs w:val="1"/>
          <w:color w:val="auto"/>
        </w:rPr>
        <w:t>Z</w:t>
      </w:r>
      <w:r>
        <w:rPr>
          <w:rFonts w:ascii="Times New Roman" w:cs="Times New Roman" w:eastAsia="Times New Roman" w:hAnsi="Times New Roman"/>
          <w:sz w:val="18"/>
          <w:szCs w:val="18"/>
          <w:color w:val="auto"/>
        </w:rPr>
        <w:t xml:space="preserve"> allele. This mutation leads to misfolding and aggregation of Z-AAT protein in hepatocytes and a lack of functional Alpha-1 antitrypsin (“AAT”) in the lungs. People with AATD typically exhibit progressive lung damage, liver damage or both, leading to frequent hospitalizations and potentially terminal lung disease and/or liver disease. Weekly intravenous augmentation therapy is the only treatment option for AATD in those with lung pathology; there are currently no approved therapies to address the liver pathology. Approximately 200,000 people in the United States and Europe are homozygous for the Z allele, which is the most common form of severe disease.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are five treatments currently approved in the United States for chronic augmentation and maintenance therapy in adults with emphysema due to congenital deficiency of alpha1-proteinase inhibitor (“Alpha1-PI”). Per FDA labeling for each, the effect of augmentation therapy with any Alpha1-PI on pulmonary exacerbations and on the progression of emphysema in Alpha1-PI deficiency has not been demonstrated in randomized, controlled clinical trials. Augmentation therapy is also approved in the EU, but reimbursement and accessibility vary by country. Patients with AATD can also be treated with therapies used in other lung diseases including bronchodilators to open airways and corticosteroids to reduce chronic inflammation common in the lungs of patients with AATD.</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are currently no approved therapies to prevent the accumulation of the misfolded AAT protein in the liver. Treatments are available to help deal with intestinal bleeding, fluid in the abdomen, nutritional issues, and other complications from scarring of the liver, but ultimately many patients will progress towards requiring a liver transplant.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AATD Program</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AATD program uses our novel GalNAc-conjugated AIMers (RNA editing oligonucleotides) and endogenous ADAR enzymes to correct a single base in the mutant SERPINA1 mRNA. By correcting the single RNA base mutation that causes a majority of AATD cases with the Pi*ZZ genotype (approximately 200,000 in the United States and Europe), RNA editing may provide an ideal approach for increasing circulating levels of wild-type AAT protein and reducing mutant protein aggregation in the liver, thus simultaneously addressing both the lung and liver manifestations of the disease. WVE-006 does not require lipid nanoparticle (“LNP”) delivery, which may be associated with systemic and liver toxicities, and comes without the risk of irreversible, collateral bystander edits and indels, which are associated with DNA base editing.</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WVE-006 is first-in-class in AATD and is the most advanced program currently in clinical development using an oligonucleotide to harness an endogenous enzyme for RNA editing. Preclinical data show that treatment with WVE-006 resulted in serum AAT protein levels of up to 30 µM (7-fold increase) in an established AATD mouse model (NSG-PiZ). WVE-006 also led to restoration of approximately 50% wild-type M-AAT protein in serum and a 3-fold increase in neutrophil elastase inhibition activity, indicating that the restored M-AAT protein was functional. Our AATD AIMers are highly specific to SERPINA1 RNA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based on transcriptome-wide analyses.</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RestorAATion clinical program investigating WVE-006 as a treatment for AATD is comprised of two parts: RestorAATion-1, a study of healthy volunteers, and RestorAATion-2, a Phase 1b/2a open label study designed to evaluate the safety, tolerability, pharmacodynamics and pharmacokinetics of WVE-006 in patients with AATD. The trial includes both single ascending dose and multiple ascending dose portions.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2025, we announced positive data from the 200 mg single and multidose (n=8), and 400 mg single dose (n=8) cohorts of the ongoing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RestorAATion-2 study. Key highlights included: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ind w:left="760" w:right="420" w:hanging="378"/>
        <w:spacing w:after="0" w:line="25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single 200 mg dose of WVE-006, a total AAT level of 20.6 µM, including a M-AAT level of 10.3 µM, was observed in one individual during an acute phase response due to a kidney stone. These data demonstrate that treatment with WVE-006 enables endogenous regulation and dynamic increased secretion of AAT protein during an acute phase response as indicated by a concurrent C-reactive protein elevation.</w:t>
      </w:r>
    </w:p>
    <w:p>
      <w:pPr>
        <w:spacing w:after="0" w:line="2" w:lineRule="exact"/>
        <w:rPr>
          <w:rFonts w:ascii="Times New Roman" w:cs="Times New Roman" w:eastAsia="Times New Roman" w:hAnsi="Times New Roman"/>
          <w:sz w:val="18"/>
          <w:szCs w:val="18"/>
          <w:color w:val="auto"/>
        </w:rPr>
      </w:pPr>
    </w:p>
    <w:p>
      <w:pPr>
        <w:ind w:left="760" w:right="360" w:hanging="378"/>
        <w:spacing w:after="0" w:line="25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200 mg multidose cohort, we observed 11.9 µM of total AAT and M-AAT of 7.2 µM, which was significantly increased from levels achieved during the single dose portion of the cohort. M-AAT levels reached 64.4% of total AAT, and mutant Z-AAT protein declined from baseline by 60.3%.</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400 mg single dose cohort, we observed total AAT of 12.8 µM and M-AAT of 5.3 µM.</w:t>
      </w:r>
    </w:p>
    <w:p>
      <w:pPr>
        <w:spacing w:after="0" w:line="9" w:lineRule="exact"/>
        <w:rPr>
          <w:rFonts w:ascii="Times New Roman" w:cs="Times New Roman" w:eastAsia="Times New Roman" w:hAnsi="Times New Roman"/>
          <w:sz w:val="18"/>
          <w:szCs w:val="18"/>
          <w:color w:val="auto"/>
        </w:rPr>
      </w:pPr>
    </w:p>
    <w:p>
      <w:pPr>
        <w:ind w:left="760" w:right="120" w:hanging="378"/>
        <w:spacing w:after="0" w:line="26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WVE-006 was generally safe and well tolerated with a favorable safety profile. All adverse events were mild to moderate in intensity, and there were no SAEs.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58420</wp:posOffset>
            </wp:positionV>
            <wp:extent cx="6172200" cy="22199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4"/>
          <w:szCs w:val="14"/>
          <w:i w:val="1"/>
          <w:iCs w:val="1"/>
          <w:color w:val="auto"/>
        </w:rPr>
        <w:t>Circulating M-AAT, Z-AAT, and total (M + Z) AAT protein in the serum were measured by highly selective and sensitive LC-MS/MS assays (LLOQ: 0.096 µM (M), 0.029 µM (Z)) and reported as mean participant SAD and MAD maximums</w:t>
      </w:r>
    </w:p>
    <w:p>
      <w:pPr>
        <w:spacing w:after="0" w:line="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Middle: from 200 mg MAD cohort; Right: from 200 mg SAD cohort</w:t>
      </w:r>
    </w:p>
    <w:p>
      <w:pPr>
        <w:spacing w:after="0" w:line="200" w:lineRule="exact"/>
        <w:rPr>
          <w:sz w:val="20"/>
          <w:szCs w:val="20"/>
          <w:color w:val="auto"/>
        </w:rPr>
      </w:pPr>
    </w:p>
    <w:p>
      <w:pPr>
        <w:spacing w:after="0" w:line="2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RestorAATion-2 clinical trial is fully enrolled through the 600 mg cohort, and dosing is ongoing. We expect to deliver data from the 400 mg multidose cohort in the first quarter of 2026. We also expect to deliver single and multidose data from the 600 mg cohort in 2026. In February 2026, we announced we were accelerating regulatory engagement for WVE-006, and we expect to receive regulatory feedback on a potential accelerated approval pathway mid-2026.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PNPLA3 I148M liver disease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and Market Opportunity</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PNPLA3 I148M is a genetic driver of liver disease, including metabolic dysfunction-associated fatty liver disease (“MAFLD”), metabolic dysfunction-associated steatohepatitis (“MASH”) and Alcoholic Steatohepatitis (“ASH”). There are an estimated nine million homozygous PNPLA3 I148M individuals with liver disease in the United States and Europe. Homozygous carriers have a near five-fold higher risk of liver-related death compared to heterozygous carriers. Additionally, homozygous PNPLA3 I148M carriers with MASH may experience more severe disease with faster progression to advanced fibrosis and end-stage liver disease.</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PNPLA3 protein plays a critical role in hepatic lipid metabolism by balancing triglyceride storage and secretion, and supporting lipid remodeling, lipid mobilization, and retinol metabolism. The PNPLA3 I148M variant leads to a gain-of-function and contributes to liver disease by aggravating steatosis, inflammation, fibrosis, and ballooning. Therapeutic approaches aimed at silencing PNPLA3 may address liver fat accumulation, but they provide limited benefit in restoring retinol metabolism; fibrosis, ballooning, and inflammation are expected to persist. In contrast, an RNA editing approach to restore, rather than silence, PNPLA3 function in homozygous PNPLA3 I148M carriers should address liver disease by restoring lipid metabolism and reversing steatosis, fibrosis, ballooning, and inflammation.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Currently, there are no therapeutic options specifically addressing the root cause of PNPLA3 I148M-driven liver disease. There are two therapies currently approved for MASH - Rezdiffra (resmetirom) from Madrigal Pharmaceuticals (US and EU) and Wegovy (semaglutide) from Novo Nordisk (US) – but neither directly addresses the pathology driven by PNPLA3 I148M.</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Our PNPLA3 I148M Liver Disease Program</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 effectively address the manifestations of PNPLA3 I148M liver disease, we use our novel RNA editing approach and have advanced WVE-008, a GalNAc-conjugated AIMer, as our clinical candidate. In preclinical studies, we have demonstrated that our PNPLA3 GalNAc-AIMer restores functional PNPLA3 protein and decreases lipid accumulation. We expect to file a clinical trial application for WVE-008 in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Duchenne muscular dystrophy (“DMD”)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and Market Opportunity</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DMD is a rare, genetic progressive neuromuscular disorder caused by mutations in the dystrophin gene on the X chromosome that affects approximately one in 5,000 newborn boys around the world (approximately 20,000 new cases annually). The dystrophin protein is part of a protein complex called the dystrophin-associated protein complex that acts as an anchor, connecting each muscle cell’s structural framework with a lattice of proteins and other molecules outside the cell through the muscle cell membrane. The dystrophin-associated protein complex protects the muscle from injury during contraction and relaxation. Patients with DMD typically develop muscle weakness in the early years of life and become wheelchair-bound in their early teens. As the disease progresses, patients with DMD typically develop respiratory, orthopedic, and cardiac complications. Cardiomyopathy and breathing difficulties usually begin by the age of 20, and few individuals with DMD live beyond their thirties.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Treatments</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While there are approved therapies for DMD, there is no cure, and there continues to be significant unmet medical need. In most countries, corticosteroids are the standard drug therapy, which slows the progression of muscle weakness and delays loss of ambulation by two to three years. Approved steroids for DMD include Emflaza (deflazacort) and Santhera Pharmaceuticals’ Agamree (vamorolone), an alternative steroid.</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Four exon skipping therapies have been approved in the United States, all under the accelerated approval pathway. They include NS Pharma’s Viltepso (viltolarsen) for exon 53 skipping and three products from Sarepta Therapeutics: Exondys 51 (eteplirsen) for exon 51 skipping; Vyondys 53 (golodirsen) for exon 53 skipping; and Amondys 45 (casimersen) for exon 45 skipping. All of these products require weekly IV infusion, and to date, none of these products has demonstrated clinical benefit in a confirmatory trial.</w:t>
      </w:r>
    </w:p>
    <w:p>
      <w:pPr>
        <w:spacing w:after="0" w:line="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Sarepta Therapeutics’ Elevidys, a microdystrophin gene therapy, is available in the United States and select ex-EU markets for ambulatory DMD patients aged at least four years who have a confirmed mutation in the DMD gene. In 2024, the FDA granted approval to Italfarmaco/ITF Therapeutics’ Duvyzat (givinostat), a histone deacetylase inhibitor.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DMD Program</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DMD, we are advancing WVE-N531, which is designed to skip exon 53 within the dystrophin gene – a therapeutic approach that would address approximately 8-10% of DMD cases. WVE-N531 is designed to cause the cellular splicing machinery to skip over exon 53 during pre-mRNA processing, which restores the dystrophin mRNA reading frame and enables production of a truncated, but functional, dystrophin protein. Exon skipping produces dystrophin from the endogenous dystrophin gene (not micro or mini dystrophin expressed from a foreign vector), under the control of native gene-regulatory elements, resulting in physiological control over its expression. WVE-N531 is our first splicing candidate incorporating PN backbone (“PN”) chemistry to be assessed in the clinic. In the third quarter of 2024, the FDA granted Rare Pediatric Disease Designation and Orphan Drug Designation to WVE-N531.</w:t>
      </w:r>
    </w:p>
    <w:p>
      <w:pPr>
        <w:spacing w:after="0" w:line="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FORWARD-53, the Phase 1b/2a proof-of-concept, open label trial of WVE-N531 included “Part A,” in which 3 boys received 3 doses of WVE-N531 at 10 mg/kg every two weeks and “Part B,” in which 11 boys initially received 10 mg/kg every two weeks for 48 weeks. In “Part B”, biopsy data was gathered from eight boys after 24 and 48 weeks, as well as safety and functional outcome assessments for all participants. Key results from the study included:</w:t>
      </w:r>
    </w:p>
    <w:p>
      <w:pPr>
        <w:spacing w:after="0" w:line="1" w:lineRule="exact"/>
        <w:rPr>
          <w:sz w:val="20"/>
          <w:szCs w:val="20"/>
          <w:color w:val="auto"/>
        </w:rPr>
      </w:pPr>
    </w:p>
    <w:p>
      <w:pPr>
        <w:ind w:left="580" w:hanging="37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WVE-N531 uptake in myogenic stem cells, which are integral to muscle regeneration, and in myofibers;</w:t>
      </w:r>
    </w:p>
    <w:p>
      <w:pPr>
        <w:spacing w:after="0" w:line="9"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WVE-N531 skeletal muscle concentrations of ~41,000 ng/g and a 61-day tissue half-life support monthly dosing;</w:t>
      </w:r>
    </w:p>
    <w:p>
      <w:pPr>
        <w:spacing w:after="0" w:line="9" w:lineRule="exact"/>
        <w:rPr>
          <w:rFonts w:ascii="Times New Roman" w:cs="Times New Roman" w:eastAsia="Times New Roman" w:hAnsi="Times New Roman"/>
          <w:sz w:val="18"/>
          <w:szCs w:val="18"/>
          <w:color w:val="auto"/>
        </w:rPr>
      </w:pPr>
    </w:p>
    <w:p>
      <w:pPr>
        <w:ind w:left="580" w:right="200" w:hanging="378"/>
        <w:spacing w:after="0" w:line="250"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Statistically significant and clinically meaningful improvement of 3.8 seconds in Time-to-Rise vs. natural history with largest effect observed relative to any approved dystrophin restoration therapy at 48 weeks; additional functional benefits observed in other outcome measures including North Star Ambulatory Assessment (“NSAA”);</w:t>
      </w:r>
    </w:p>
    <w:p>
      <w:pPr>
        <w:spacing w:after="0" w:line="1" w:lineRule="exact"/>
        <w:rPr>
          <w:rFonts w:ascii="Times New Roman" w:cs="Times New Roman" w:eastAsia="Times New Roman" w:hAnsi="Times New Roman"/>
          <w:sz w:val="18"/>
          <w:szCs w:val="18"/>
          <w:color w:val="auto"/>
        </w:rPr>
      </w:pPr>
    </w:p>
    <w:p>
      <w:pPr>
        <w:ind w:left="580" w:right="100" w:hanging="378"/>
        <w:spacing w:after="0" w:line="250"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First-ever demonstration of substantial improvements in muscle health with exon skipping – statistically significant reduction in fibrosis driven by decreases in inflammation and necrosis, coupled with transition from regenerative to mature muscle; decreases in creatine kinase and circulating inflammatory biomarkers;</w:t>
      </w:r>
    </w:p>
    <w:p>
      <w:pPr>
        <w:spacing w:after="0" w:line="1"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Dystrophin expression stabilized between 24 and 48 weeks and averaged 7.8% with 88% of boys above 5% average dystrophin;</w:t>
      </w:r>
    </w:p>
    <w:p>
      <w:pPr>
        <w:spacing w:after="0" w:line="9"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WVE-N531 was generally safe and well-tolerated with no SAEs observed.</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 participants in FORWARD-53 elected to advance to the extension portion of the clinical trial, which is currently ongoing with boys receiving monthly doses of WVE-N531. To augment monthly data and ensure a monthly regimen at a potential launch, we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2" w:name="page13"/>
    <w:bookmarkEnd w:id="12"/>
    <w:p>
      <w:pPr>
        <w:ind w:right="100"/>
        <w:spacing w:after="0" w:line="282" w:lineRule="auto"/>
        <w:rPr>
          <w:sz w:val="20"/>
          <w:szCs w:val="20"/>
          <w:color w:val="auto"/>
        </w:rPr>
      </w:pPr>
      <w:r>
        <w:rPr>
          <w:rFonts w:ascii="Times New Roman" w:cs="Times New Roman" w:eastAsia="Times New Roman" w:hAnsi="Times New Roman"/>
          <w:sz w:val="18"/>
          <w:szCs w:val="18"/>
          <w:color w:val="auto"/>
        </w:rPr>
        <w:t>expanded FORWARD-53 to include additional boys on a monthly dosing regimen. We plan to file a New Drug Application in 2026 to support accelerated approval of WVE-N531 with monthly dosing.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Huntington’s disease (“HD”)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and Market Opportunity</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HD is a rare hereditary neurodegenerative disease that results in early death and for which there is no cure. In patients with HD, there is a progressive loss of neurons in the brain leading to cognitive, psychiatric, and motor disabilities. HD is caused by a mutation (an expanded cytosine-adenine-guanine (“CAG”) triplet repeat) in the Huntingtin (“</w:t>
      </w:r>
      <w:r>
        <w:rPr>
          <w:rFonts w:ascii="Times New Roman" w:cs="Times New Roman" w:eastAsia="Times New Roman" w:hAnsi="Times New Roman"/>
          <w:sz w:val="18"/>
          <w:szCs w:val="18"/>
          <w:i w:val="1"/>
          <w:iCs w:val="1"/>
          <w:color w:val="auto"/>
        </w:rPr>
        <w:t>HTT”)</w:t>
      </w:r>
      <w:r>
        <w:rPr>
          <w:rFonts w:ascii="Times New Roman" w:cs="Times New Roman" w:eastAsia="Times New Roman" w:hAnsi="Times New Roman"/>
          <w:sz w:val="18"/>
          <w:szCs w:val="18"/>
          <w:color w:val="auto"/>
        </w:rPr>
        <w:t xml:space="preserve"> gene, which results in production of mHTT protein and decreases the amount of wtHTT protein that is expressed. Patients with HD still express some wtHTT protein, which is important for neuronal function, and which may be neuroprotective in an adult brain and specifically protective against HD. Studies suggest a multifaceted mechanism by which gain of mHTT protein and a concurrent loss of wtHTT protein may drive the pathophysiology of HD. Accordingly, therapeutic approaches for HD that aim to lower mHTT but that also suppress wtHTT may have detrimental long-term consequences. We believe an allele-selective therapeutic, one that can diminish the production of mHTT while sparing wtHTT, may be ideal.</w:t>
      </w:r>
    </w:p>
    <w:p>
      <w:pPr>
        <w:spacing w:after="0" w:line="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Symptoms of HD typically appear between the ages of 30 and 50 and worsen over the next 10 to 20 years. Many describe the symptoms of HD as similar to having amyotrophic lateral sclerosis, Parkinson’s Disease and Alzheimer’s Disease simultaneously. Patients experience a reduction in motor function and psychological disturbances. Life expectancy after symptom onset is approximately 20 years. In the most symptomatic stages, often lasting over 10 years, affected persons become fully dependent upon others to manage all activities of daily living; they lose the ability to make decisions, feed themselves and walk, and often require premature placement in a long-term care facility. It is estimated that there are over 200,000 individuals with HD across all disease stages in the United States and Europe; ~160,000 are pre-symptomatic and ~65,000 are symptomatic. Our allele-selective approach may enable us to address both the symptomatic and pre-symptomatic populations.</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Medium spiny neurons in a deep brain region called the striatum, which includes caudate and putamen, are particularly sensitive to death in HD. Caudate volume, as measured by magnetic resonance imaging (“MRI”), is an imaging biomarker that consistently shows atrophy at the earliest stages of disease, and it is one of the biomarkers that serves as a landmark for disease progression (Tabrizi et al., 2022 Lancet Neurol). Our evaluation of longitudinal natural history data from TRACK-HD and PREDICT-HD demonstrate that an absolute reduction of 1% in the rate of caudate atrophy is associated with a delay of onset of disability for individuals with HD of at least 7.5 years.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are currently no approved treatments that can reverse or slow HD progression. Current pharmacological therapies only address HD symptoms. Antipsychotics are used to manage depression, irritability, and chorea (involuntary movements). Xenazine (tetrabenazine), Austedo (deutetrabenazine), and as of August 2023, Ingrezza (valbenazine) are the only therapies approved for the treatment of chorea associated with HD in the United States. In the EU, Xenazine, Haldol (haloperidol), and Tiapridal (tiapride) are approved for the treatment of chorea associated with HD.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HD Program</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WVE-003 is our stereopure allele-selective oligonucleotide that incorporates our proprietary PN chemistry and is designed to selectively target rs362273, a variant of the single nucleotide polymorphism (“SNP”), “mHTT SNP3”, associated with the disease-causing mHTT mRNA transcript within the HTT gene (Iwamoto et al., MTNA). Targeting mRNA through SNP3 allows us to lower expression of transcript from the mutant allele, while leaving the healthy transcript relatively intact, thereby preserving wild-type (healthy) huntingtin (“wtHTT”) protein, which is important for neuronal function. Approximately 40% of the HD population carries SNP3 according to published literature (Carroll et al., Molecular Therapy, 2011), and up to 80% of HD may be addressed in the future with other SNP-targeted candidates.</w:t>
      </w:r>
    </w:p>
    <w:p>
      <w:pPr>
        <w:spacing w:after="0" w:line="7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SELECT-HD was a global, multicenter, randomized, double-blind, placebo-controlled Phase 1b/2a clinical trial to assess the safety and tolerability of WVE-003 in people with a confirmed diagnosis of HD who were in the early stages of the disease and carry SNP3 in association with their CAG expansion. Additional objectives included assessing PK and exploratory PD and clinical endpoints.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June 2024, we announced positive clinical data from the SELECT-HD study. Results from the multi-dose portion of the trial, which evaluated three doses of 30 mg WVE-003 administered every eight weeks, showed clear translation of target engagement to clinic with statistically significant, potent, durable and allele-selective reductions in cerebrospinal fluid (“CSF”) mHTT of up to a mean 46%, with preservation of wtHTT protein. The multi-dose cohort also revealed a statistically significant correlation between mHTT reduction and slowing of caudate atrophy, indicating a potential benefit of allele-selective mHTT reductions. Caudate atrophy, as measured by MRI, is a well-characterized measure of disease progression in HD. In the multi-dose cohort, WVE-003 was generally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right="180"/>
        <w:spacing w:after="0" w:line="282" w:lineRule="auto"/>
        <w:rPr>
          <w:sz w:val="20"/>
          <w:szCs w:val="20"/>
          <w:color w:val="auto"/>
        </w:rPr>
      </w:pPr>
      <w:r>
        <w:rPr>
          <w:rFonts w:ascii="Times New Roman" w:cs="Times New Roman" w:eastAsia="Times New Roman" w:hAnsi="Times New Roman"/>
          <w:sz w:val="18"/>
          <w:szCs w:val="18"/>
          <w:color w:val="auto"/>
        </w:rPr>
        <w:t>safe and well-tolerated, with mild-to-moderate adverse events (“AEs”) and no SAEs. In November 2024, five months after a patient completed their final safety visit, an SAE was reported that we assessed to be not related to WVE-003.</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Following our positive clinical results, we initiated engagement with the FDA. In November 2024, we received supportive initial feedback from the FDA, who recognize the severity of HD and are receptive to and engaged with us regarding a potential pathway to accelerated approval. The FDA is open to our plan to evaluate biomarkers, including caudate atrophy, as an endpoint to assess HD progression with the potential to predict clinical outcomes. Also in November 2024, the FDA granted Orphan Drug Designation to WVE-003.</w:t>
      </w:r>
    </w:p>
    <w:p>
      <w:pPr>
        <w:spacing w:after="0" w:line="7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have prepared an IND application for a potentially registrational Phase 2/3 study of WVE-003 and would plan to submit it in conjunction with a prospective strategic partner.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Discovery Pipeline</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advancing new targets across multiple disease areas to expand our pipeline of wholly owned programs. Our compelling preclinical data demonstrate that our oligonucleotides can distribute to various tissues and cells without complex delivery vehicles, enabling us to address a wide variety of diseases. Within RNA editing, we have demonstrated clinically that we can address monogenic diseases by correcting the disease-causing mutation, as evidenced by restoration of healthy protein function for the treatment of AATD. Beyond correction, we have preclinical data demonstrating our ability to increase the stability of the mRNA transcript to upregulate protein levels. Within RNAi, we have shared preclinical data which show that our SpiNA designs enable RNAi-mediated silencing by further improving Ago2 loading and pharmacokinetics, leading to increased potency and durability compared to industry benchmarks. With our SpiNA designs, our preclinical data demonstrate we can silence targets in extra-hepatic tissues including adipose, skeletal muscle, heart, CNS, and kidney. We are utilizing a combination of human genetics and AI for target discovery and oligonucleotide design, and we have initiated a number of preclinical RNA editing and RNAi programs supported by evidence from human genetics, that leverage easily accessible biomarkers, offer efficient paths to proof-of-concept in humans, and represent meaningful commercial opportunities.</w:t>
      </w:r>
    </w:p>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have applied learnings from across our platform and chemistry optimization to investigate new bifunctional modalities which combine RNAi and RNA editing or dual RNAi silencing into a single oligonucleotide construct. These constructs are designed to silence multiple targets or silence one target while simultaneously editing or upregulating another distinct target. We demonstrated the ability of a single bifunctional oligonucleotide to engage in silencing and editing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mice using a GalNAc-conjugated oligonucleotide that is designed to edit UGP2 and silence TTR. In a separate preclinical study, we also demonstrated that we were able to upregulate low-density lipoprotein receptor and silence PCSK9 using a single construct in primary human hepatocytes.</w:t>
      </w:r>
    </w:p>
    <w:p>
      <w:pPr>
        <w:spacing w:after="0" w:line="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Through our collaboration with GSK, we are actively working on multiple target validation programs as GSK-partnered programs, for which all of our costs and expenses are prepaid by GSK. GSK has selected four programs, across multiple modalities and hepatic and extra-hepatic tissues, to advance to development candidates following achievement of target validation, which have resulted in additional payments to us under the collaboration.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We are building a leading RNA medicines company by utilizing our PRISM platform to translate powerful human genetic insights into potentially transformational therapeutics. Our therapeutic pipeline is focused on our clinical-stage obesity program (WVE-007) and our RNA editing (AIMer) portfolio (WVE-006 for AATD and WVE-008 for PNPLA3 I148M liver disease), all of which leverage GalNAc delivery. In addition to driving clinical and preclinical programs, we are continuously investing in PRISM to fully unlock the potential of our unique and expanding platform capabilities.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components of our strategy are as follows:</w:t>
      </w:r>
    </w:p>
    <w:p>
      <w:pPr>
        <w:spacing w:after="0" w:line="113" w:lineRule="exact"/>
        <w:rPr>
          <w:sz w:val="20"/>
          <w:szCs w:val="20"/>
          <w:color w:val="auto"/>
        </w:rPr>
      </w:pPr>
    </w:p>
    <w:p>
      <w:pPr>
        <w:ind w:left="880" w:right="20" w:hanging="378"/>
        <w:spacing w:after="0" w:line="26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Extend our leadership in RNA medicines</w:t>
      </w:r>
      <w:r>
        <w:rPr>
          <w:rFonts w:ascii="Times New Roman" w:cs="Times New Roman" w:eastAsia="Times New Roman" w:hAnsi="Times New Roman"/>
          <w:sz w:val="18"/>
          <w:szCs w:val="18"/>
          <w:color w:val="auto"/>
        </w:rPr>
        <w:t>. We are establishing dominant position in the field of oligonucleotides, advancing basic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pharmacology using stereochemistry and other novel modifications across multiple therapeutic modalities and target classes. Through PRISM, our efforts continue to reveal structure-activity relationships among base modifications and sequence, chemistry and backbone stereochemistry that may allow us to further tune the activity of our oligonucleotides in a previously unexplored, modality-specific manner.</w:t>
      </w:r>
    </w:p>
    <w:p>
      <w:pPr>
        <w:spacing w:after="0" w:line="68" w:lineRule="exact"/>
        <w:rPr>
          <w:rFonts w:ascii="Times New Roman" w:cs="Times New Roman" w:eastAsia="Times New Roman" w:hAnsi="Times New Roman"/>
          <w:sz w:val="18"/>
          <w:szCs w:val="18"/>
          <w:color w:val="auto"/>
        </w:rPr>
      </w:pPr>
    </w:p>
    <w:p>
      <w:pPr>
        <w:ind w:left="880" w:right="20" w:hanging="378"/>
        <w:spacing w:after="0" w:line="257"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advance and sustainably grow our differentiated portfolio of RNA medicines. </w:t>
      </w:r>
      <w:r>
        <w:rPr>
          <w:rFonts w:ascii="Times New Roman" w:cs="Times New Roman" w:eastAsia="Times New Roman" w:hAnsi="Times New Roman"/>
          <w:sz w:val="18"/>
          <w:szCs w:val="18"/>
          <w:color w:val="auto"/>
        </w:rPr>
        <w:t>We are committed to transforming the care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individuals living with the burden of disease, including those with both rare and common diseases. Our current and future portfolio is focused on novel therapeutic approaches that optimally address disease biology, offer biomarkers for target engagement, inform on clinical effects early in development, and represent attractive commercial opportunities. With a focus on our clinically-validated RNAi (SpiNA) and RNA editing (AIMer) capabilities, we are positioned to unlock new biology and develop first-in-class therapeutics, including for extra-hepatic disease targets.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left="880" w:right="20" w:hanging="378"/>
        <w:spacing w:after="0" w:line="257"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manufacturing leadership in oligonucleotides. </w:t>
      </w:r>
      <w:r>
        <w:rPr>
          <w:rFonts w:ascii="Times New Roman" w:cs="Times New Roman" w:eastAsia="Times New Roman" w:hAnsi="Times New Roman"/>
          <w:sz w:val="18"/>
          <w:szCs w:val="18"/>
          <w:color w:val="auto"/>
        </w:rPr>
        <w:t>We have built a hybrid internal / external manufacturing model that enables us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produce stereopure oligonucleotides at scales from one micromole to potential commercial scale. Through our internal manufacturing, based in our Lexington, Massachusetts facility, we have the capacity to support multiple discovery, preclinical, and early clinical-stage programs, and we have the expertise to conduct manufacturing runs for oligonucleotides spanning multiple modalities. We believe that leveraging our internal manufacturing capabilities along with expertise from contract manufacturing organizations (“CMOs”) facilitates our growth and enhances our ability to secure drug substance for current and future development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PRISM: Our proprietary discovery and drug development platform</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PRISM platform demonstrates the powerful convergence of best-in-class chemistry with human genetics. The platform was built on the recognition that a significant opportunity exists to tune the pharmacological properties of oligonucleotides by leveraging three key features of these molecules: base modifications and sequence, chemistry, and stereochemistry. Our unique ability to control stereochemistry provides the resolution necessary to optimize pharmacological profiles and develop and manufacture stereopure oligonucleotides. Stereopure oligonucleotides are comprised of molecules with atoms precisely and purposefully arranged in three-dimensional orientations at each linkage. Our stereopure oligonucleotides are distinct from the chiral backbone-modified or “mixture-based” oligonucleotides currently on the market or in development by others, which we believe are not optimized for stability, catalytic activity, efficacy or toxicity. We believe that PRISM has the potential to set a new industry standard for the molecular characterization of therapeutic oligonucleotides. Our rational process for designing stereopure oligonucleotides allows us to selectively optimize chemical modifications to a specific therapeutic modality in order to generate best-in-class oligonucleotides.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Advantages of PRISM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PRISM is a significant advancement in the development of oligonucleotides. The advantages of our approach include:</w:t>
      </w:r>
    </w:p>
    <w:p>
      <w:pPr>
        <w:spacing w:after="0" w:line="113" w:lineRule="exact"/>
        <w:rPr>
          <w:sz w:val="20"/>
          <w:szCs w:val="20"/>
          <w:color w:val="auto"/>
        </w:rPr>
      </w:pPr>
    </w:p>
    <w:p>
      <w:pPr>
        <w:ind w:left="880" w:right="60" w:hanging="378"/>
        <w:spacing w:after="0" w:line="257"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Ability to rationally design product candidates with optimized pharmacological properties</w:t>
      </w:r>
      <w:r>
        <w:rPr>
          <w:rFonts w:ascii="Times New Roman" w:cs="Times New Roman" w:eastAsia="Times New Roman" w:hAnsi="Times New Roman"/>
          <w:sz w:val="18"/>
          <w:szCs w:val="18"/>
          <w:color w:val="auto"/>
        </w:rPr>
        <w:t>. Our platform combines our unique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construct stereopure oligonucleotides with a deep understanding of how the interplay among oligonucleotide base modifications and sequence, chemistry and backbone stereochemistry impacts key pharmacological properties. By exploring these interactions through iterative analysis of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outcomes and machine learning-driven predictive modeling, we continue to define design principles that we deploy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to rapidly develop and manufacture clinical candidates that meet pre-defined product profiles. PRISM has also enabled us to further innovate our chemistry, including the application of new chemistry modifications, to our pipeline programs.</w:t>
      </w:r>
    </w:p>
    <w:p>
      <w:pPr>
        <w:spacing w:after="0" w:line="74" w:lineRule="exact"/>
        <w:rPr>
          <w:rFonts w:ascii="Times New Roman" w:cs="Times New Roman" w:eastAsia="Times New Roman" w:hAnsi="Times New Roman"/>
          <w:sz w:val="18"/>
          <w:szCs w:val="18"/>
          <w:color w:val="auto"/>
        </w:rPr>
      </w:pPr>
    </w:p>
    <w:p>
      <w:pPr>
        <w:ind w:left="880" w:right="460" w:hanging="378"/>
        <w:spacing w:after="0" w:line="317" w:lineRule="auto"/>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Broad applicability</w:t>
      </w:r>
      <w:r>
        <w:rPr>
          <w:rFonts w:ascii="Times New Roman" w:cs="Times New Roman" w:eastAsia="Times New Roman" w:hAnsi="Times New Roman"/>
          <w:sz w:val="17"/>
          <w:szCs w:val="17"/>
          <w:color w:val="auto"/>
        </w:rPr>
        <w:t>. PRISM is applicable to oligonucleotides acting via multiple therapeutic modalities, including RNAi, RNA editing,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splicing, antisense and bifunctional modalities. It is also compatible with a broad range of chemical modifications and targeting moieties.</w:t>
      </w:r>
    </w:p>
    <w:p>
      <w:pPr>
        <w:spacing w:after="0" w:line="23" w:lineRule="exact"/>
        <w:rPr>
          <w:rFonts w:ascii="Times New Roman" w:cs="Times New Roman" w:eastAsia="Times New Roman" w:hAnsi="Times New Roman"/>
          <w:sz w:val="17"/>
          <w:szCs w:val="17"/>
          <w:color w:val="auto"/>
        </w:rPr>
      </w:pPr>
    </w:p>
    <w:p>
      <w:pPr>
        <w:ind w:left="880" w:right="240" w:hanging="378"/>
        <w:spacing w:after="0" w:line="268"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Simplified delivery</w:t>
      </w:r>
      <w:r>
        <w:rPr>
          <w:rFonts w:ascii="Times New Roman" w:cs="Times New Roman" w:eastAsia="Times New Roman" w:hAnsi="Times New Roman"/>
          <w:sz w:val="18"/>
          <w:szCs w:val="18"/>
          <w:color w:val="auto"/>
        </w:rPr>
        <w:t>. We can take advantage of simplified delivery strategies, such as free-uptake or GalNAc conjugation, to reach the site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 in the right tissue. This approach avoids the need, and certain limitations, for complex delivery vehicles such as LNPs or adeno-associated viruses (“AAV”).</w:t>
      </w:r>
    </w:p>
    <w:p>
      <w:pPr>
        <w:spacing w:after="0" w:line="62" w:lineRule="exact"/>
        <w:rPr>
          <w:rFonts w:ascii="Times New Roman" w:cs="Times New Roman" w:eastAsia="Times New Roman" w:hAnsi="Times New Roman"/>
          <w:sz w:val="18"/>
          <w:szCs w:val="18"/>
          <w:color w:val="auto"/>
        </w:rPr>
      </w:pPr>
    </w:p>
    <w:p>
      <w:pPr>
        <w:ind w:left="880" w:right="20" w:hanging="378"/>
        <w:spacing w:after="0" w:line="257"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Proprietary production of stereopure oligonucleotides and scalable manufacturing</w:t>
      </w:r>
      <w:r>
        <w:rPr>
          <w:rFonts w:ascii="Times New Roman" w:cs="Times New Roman" w:eastAsia="Times New Roman" w:hAnsi="Times New Roman"/>
          <w:sz w:val="18"/>
          <w:szCs w:val="18"/>
          <w:color w:val="auto"/>
        </w:rPr>
        <w:t>. Our scientists have developed expertise in the techniques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to produce adequate supplies of chemically modified stereopure oligonucleotide materials for our preclinical and clinical activities. In addition, we believe we have the intellectual property position and know-how necessary to protect, advance and scale these production processes to support our clinical trials and potential future commercial supply. We believe that our scalable synthesis processes will allow us to meet demand for current good manufacturing practices (“cGMP”)-qualified clinical trial supply, as well as the potential for commercial manufacturing at a cost of goods and potential cost-per-patient that are comparable to stereorandom oligonucleotides.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Chemistry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Backbone Stereochemistry</w:t>
      </w:r>
    </w:p>
    <w:p>
      <w:pPr>
        <w:spacing w:after="0" w:line="11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In our foundational </w:t>
      </w:r>
      <w:r>
        <w:rPr>
          <w:rFonts w:ascii="Times New Roman" w:cs="Times New Roman" w:eastAsia="Times New Roman" w:hAnsi="Times New Roman"/>
          <w:sz w:val="18"/>
          <w:szCs w:val="18"/>
          <w:i w:val="1"/>
          <w:iCs w:val="1"/>
          <w:color w:val="auto"/>
        </w:rPr>
        <w:t>Nature Biotechnology</w:t>
      </w:r>
      <w:r>
        <w:rPr>
          <w:rFonts w:ascii="Times New Roman" w:cs="Times New Roman" w:eastAsia="Times New Roman" w:hAnsi="Times New Roman"/>
          <w:sz w:val="18"/>
          <w:szCs w:val="18"/>
          <w:color w:val="auto"/>
        </w:rPr>
        <w:t xml:space="preserve"> paper (Iwamoto N, et al. Nature Biotechnol. 2017;35(9):845-851), we described our studies using our proprietary chemistry to design and synthesize stereopure oligonucleotides and oligonucleotide mixtures based on mipomersen. Mipomersen, an oligonucleotide containing 20 nucleotides and 19 PS modifications, is synthesized by traditional oligonucleotide chemistry; thus, it is a mixture of over 500,000 different stereoisomers (2</w:t>
      </w:r>
      <w:r>
        <w:rPr>
          <w:rFonts w:ascii="Times New Roman" w:cs="Times New Roman" w:eastAsia="Times New Roman" w:hAnsi="Times New Roman"/>
          <w:sz w:val="24"/>
          <w:szCs w:val="24"/>
          <w:color w:val="auto"/>
          <w:vertAlign w:val="superscript"/>
        </w:rPr>
        <w:t>19</w:t>
      </w:r>
      <w:r>
        <w:rPr>
          <w:rFonts w:ascii="Times New Roman" w:cs="Times New Roman" w:eastAsia="Times New Roman" w:hAnsi="Times New Roman"/>
          <w:sz w:val="18"/>
          <w:szCs w:val="18"/>
          <w:color w:val="auto"/>
        </w:rPr>
        <w:t xml:space="preserve"> = 524,288). We rationally designed and synthesized individual stereoisomers of mipomersen, each having position-specific and distinct stereochemistry, and conducted studies comparing these defined stereoisomers with the mipomersen stereomixture. These and other preclinical studies have demonstrated that stereochemistry impacts pharmacology, and that by controlling stereochemistry, we can tune multiple aspects of pharmacology, including stability, catalytic activity, and efficacy.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5" w:name="page16"/>
    <w:bookmarkEnd w:id="15"/>
    <w:p>
      <w:pPr>
        <w:ind w:right="220"/>
        <w:spacing w:after="0" w:line="282" w:lineRule="auto"/>
        <w:rPr>
          <w:sz w:val="20"/>
          <w:szCs w:val="20"/>
          <w:color w:val="auto"/>
        </w:rPr>
      </w:pPr>
      <w:r>
        <w:rPr>
          <w:rFonts w:ascii="Times New Roman" w:cs="Times New Roman" w:eastAsia="Times New Roman" w:hAnsi="Times New Roman"/>
          <w:sz w:val="18"/>
          <w:szCs w:val="18"/>
          <w:color w:val="auto"/>
        </w:rPr>
        <w:t>We have subsequently published multiple additional manuscripts that provide robust evidence that stereopure oligonucleotides can be developed to have superior pharmacology to stereorandom oligonucleotides.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PN Backbone Chemistry Modifications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initial investigations into the impact of backbone chemistry and stereochemistry on oligonucleotide pharmacology focused on the widely used phosphodiester (“PO”) and phosphorothioate (“PS”) backbones. In 2020, we introduced PN chemistry to our repertoire of backbone modifications; this backbone modification replaces a non-bridging oxygen atom in a phosphodiester linkage with a nitrogen-containing moiety.</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incorporated these PN modifications – specifically phosphoryl guanidine – into oligonucleotide compounds. As with PS modifications, PN modifications are chiral, and we have the capacity to control PN backbone stereochemistry. Unlike PS modifications, PN modifications are neutral, meaning that the negative charge of the oligonucleotide is reduced with every PN modification added to the backbone. In preclinical experiments, we have demonstrated that judicious use of PN backbone chemistry modifications in stereopure oligonucleotides have generally increased potency, tissue exposure and durability of effect across our RNA editing, siRNA, splicing, and antisense modalities.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also investigated the impact of PN chemistry on cellular uptake and trafficking using gymnotic or free uptake conditions. In the graph labeled one below, the data demonstrate the cellular uptake improvement for AIMers containing PN chemistry, shown in light blue, compared to those without PN chemistry, shown in dark blue. To the right, in the graph labeled two, the data demonstrate the proportion of AIMer released from endosomes inside the cell. The addition of PN chemistry drove a greater than 2-fold increase in cellular uptake and an over 4-fold increase in endosomal release compared with AIMers lacking PN chemistry.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128270</wp:posOffset>
            </wp:positionV>
            <wp:extent cx="4963160" cy="2820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6316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Below, we also demonstrated the benefits of PN chemistry on cellular residency, with a higher percentage of PN-containing molecules persisting within the cell, a 5-fold benefit on nuclear uptake, and ultimately, evidence this modification leads to a dramatic 30-fold improvement in target engagement in a cell free lysate system.</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774700</wp:posOffset>
            </wp:positionV>
            <wp:extent cx="5760720" cy="2931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RNA editing – AIMer designs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With PRISM, we have generated stereopure AIMers, optimized for chemistry and stereochemistry, which promote RNA editing with endogenous ADAR enzymes in cellular models. We have demonstrated that the addition of PN chemistry substantially improves both potency and editing efficiency. Our foundational RNA editing paper published in </w:t>
      </w:r>
      <w:r>
        <w:rPr>
          <w:rFonts w:ascii="Times New Roman" w:cs="Times New Roman" w:eastAsia="Times New Roman" w:hAnsi="Times New Roman"/>
          <w:sz w:val="18"/>
          <w:szCs w:val="18"/>
          <w:i w:val="1"/>
          <w:iCs w:val="1"/>
          <w:color w:val="auto"/>
        </w:rPr>
        <w:t>Nature Biotechnology</w:t>
      </w:r>
      <w:r>
        <w:rPr>
          <w:rFonts w:ascii="Times New Roman" w:cs="Times New Roman" w:eastAsia="Times New Roman" w:hAnsi="Times New Roman"/>
          <w:sz w:val="18"/>
          <w:szCs w:val="18"/>
          <w:color w:val="auto"/>
        </w:rPr>
        <w:t xml:space="preserve"> (Monian P, et. Al., 2022; doi.org/10.1038/s41587-022-01225-1) was the first scientific publication to report successful RNA base editing in NHPs using only single-stranded, GalNAc-conjugated oligonucleotides. In this manuscript, we demonstrated efficient RNA editing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with our AIMers across a variety of cell lines, including non-human primate (“NHP”) and human primary hepatocytes. We observed potent, dose-dependent RNA editing with three chemically distinct stereopure AIMers (ACTB 1, ACTB 2, ACTB 3) via GalNAc-mediated uptake.</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next evaluated these same GalNAc-conjugated ACTB-editing AIMers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NHPs. For this study, we dosed NHPs subcutaneously once a day for five days. We took liver biopsy samples at baseline at two days and 45 days after the last dose to evaluate editing. We detected up to 50% editing two days after the last dose as compared to a baseline of 0% editing. These editing results were durable: we continued to see significant editing 45 days after the last dose. The PK data confirmed that a significant amount of AIMer was still detectable in the liver at that time. To assess off-target editing for the whole transcriptome, a mutation-calling software was used to call edit sites. From this analysis, we observed nominal off-target editing across the transcriptome. Sites where potential off-target editing occurred mapped predominantly to non-coding regions of the transcriptome and had either low read coverage in the analysis or occurred at low percentages of less than 10%, indicating that these are relatively rare events.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Modifications</w:t>
      </w:r>
    </w:p>
    <w:p>
      <w:pPr>
        <w:spacing w:after="0" w:line="119"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7"/>
          <w:szCs w:val="17"/>
          <w:color w:val="auto"/>
        </w:rPr>
        <w:t>In 2023, we introduced base modifications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N-3-uridine, N3U) to our repertoire of chemical modifications that allow us to tune the activity of oligonucleotides to the biological modality. For example, we have shown that the introduction of an N3U at the “orphan position” of an RNA editing oligonucleotide, which is across from the edit site in the transcript, enhances RNA editing across a diversity of sequences in preclinical studies.</w:t>
      </w:r>
    </w:p>
    <w:p>
      <w:pPr>
        <w:spacing w:after="0" w:line="4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our 2024 </w:t>
      </w:r>
      <w:r>
        <w:rPr>
          <w:rFonts w:ascii="Times New Roman" w:cs="Times New Roman" w:eastAsia="Times New Roman" w:hAnsi="Times New Roman"/>
          <w:sz w:val="18"/>
          <w:szCs w:val="18"/>
          <w:i w:val="1"/>
          <w:iCs w:val="1"/>
          <w:color w:val="auto"/>
        </w:rPr>
        <w:t>Nucleic Acids Research</w:t>
      </w:r>
      <w:r>
        <w:rPr>
          <w:rFonts w:ascii="Times New Roman" w:cs="Times New Roman" w:eastAsia="Times New Roman" w:hAnsi="Times New Roman"/>
          <w:sz w:val="18"/>
          <w:szCs w:val="18"/>
          <w:color w:val="auto"/>
        </w:rPr>
        <w:t xml:space="preserve"> paper (Lu et al., 2024 Nuc Acid Res; doi.org/10.1093/nar/gkae681 N), we described the development of new AIMer designs (AIMer-D) with base modifications and sequence, sugar and backbone modifications that improve RNA editing efficiency over our previous design (AIMer-S). AIMers incorporating the AIMer-D pattern of backbone and 2′ sugar modifications supported enhanced editing efficiency across multiple sequences. Further efficiency gains were achieved through incorporation of N3U in place of cytidine (C) in the orphan position. Molecular modeling suggested that N3U might enhance ADAR catalytic activity by stabilizing the AIMer-ADAR interaction and potentially reducing the energy required to flip the target base into the active site. Supporting this hypothesis, AIMers containing N3U consistently enhanced RNA editing over those containing C across multiple sequences and multiple nearest neighbor sequence combinations. These modifications to AIMers improved RNA editing both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and in</w:t>
      </w:r>
      <w:r>
        <w:rPr>
          <w:rFonts w:ascii="Times New Roman" w:cs="Times New Roman" w:eastAsia="Times New Roman" w:hAnsi="Times New Roman"/>
          <w:sz w:val="18"/>
          <w:szCs w:val="18"/>
          <w:i w:val="1"/>
          <w:iCs w:val="1"/>
          <w:color w:val="auto"/>
        </w:rPr>
        <w:t xml:space="preserve"> vivo</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 w:name="page18"/>
    <w:bookmarkEnd w:id="17"/>
    <w:p>
      <w:pPr>
        <w:ind w:right="80"/>
        <w:spacing w:after="0" w:line="282" w:lineRule="auto"/>
        <w:rPr>
          <w:sz w:val="20"/>
          <w:szCs w:val="20"/>
          <w:color w:val="auto"/>
        </w:rPr>
      </w:pPr>
      <w:r>
        <w:rPr>
          <w:rFonts w:ascii="Times New Roman" w:cs="Times New Roman" w:eastAsia="Times New Roman" w:hAnsi="Times New Roman"/>
          <w:sz w:val="18"/>
          <w:szCs w:val="18"/>
          <w:color w:val="auto"/>
        </w:rPr>
        <w:t>We continuously explore how new modifications and new combinations of modifications from our expansive repertoire can redefine what’s possible with oligonucleotide therapeutics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RNAi - SpiNA design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applied our stereopure PS and PN modifications to the siRNA modality using double-stranded siRNAs. In April 2023, we announced the publication of preclinical data for our novel siRNA formats in the journal of </w:t>
      </w:r>
      <w:r>
        <w:rPr>
          <w:rFonts w:ascii="Times New Roman" w:cs="Times New Roman" w:eastAsia="Times New Roman" w:hAnsi="Times New Roman"/>
          <w:sz w:val="18"/>
          <w:szCs w:val="18"/>
          <w:i w:val="1"/>
          <w:iCs w:val="1"/>
          <w:color w:val="auto"/>
        </w:rPr>
        <w:t>Nucleic Acids Research</w:t>
      </w:r>
      <w:r>
        <w:rPr>
          <w:rFonts w:ascii="Times New Roman" w:cs="Times New Roman" w:eastAsia="Times New Roman" w:hAnsi="Times New Roman"/>
          <w:sz w:val="18"/>
          <w:szCs w:val="18"/>
          <w:color w:val="auto"/>
        </w:rPr>
        <w:t xml:space="preserve">. The preclinical data demonstrated unprecedented Argonaute2 (“Ago2”) loading following administration of single subcutaneous GalNAc-siRNA doses, leading to improved potency and durability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mice versus comparator siRNA formats.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continue to improve upon our GalNAc-siRNA with our SpiNA designs, which enable improved RNAi-mediated silencing by further increasing Ago2 loading, leading to improved potency and durability compared to our earlier siRNA designs (NAR) and industry benchmark (Ref, NAR: Liu et al., 2023 Nucleic Acids Research doi: 10.1093/nar/gkad268). As shown in the figure below, we have seen improvements in Ttr mRNA silencing in mice with our GalNAc-conjugated siRNAs following a single dose at 2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125730</wp:posOffset>
            </wp:positionV>
            <wp:extent cx="2143125" cy="1671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43125"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All siRNAs have the same sequence and 2’-modifications as the literature reference construct with state-of-the-art siRNA chemistry</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Compared to reference and our previous published siRNA constructs, SpiNA designs have also substantially improved the potency and duration of silencing, and we have observed up to 95% Ttr mRNA knockdown in mice at least up to 8 weeks after a single dose as shown in the figure below on the left. We have demonstrated that the shifts in potency and duration of activity of SpiNA is driven by increases in both Ago2 loading and PK, with SpiNA driving up to ten-fold improvement in Ago2 versus a reference compound, as shown below on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125730</wp:posOffset>
            </wp:positionV>
            <wp:extent cx="6172200" cy="1757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360"/>
        <w:spacing w:after="0" w:line="284" w:lineRule="auto"/>
        <w:rPr>
          <w:sz w:val="20"/>
          <w:szCs w:val="20"/>
          <w:color w:val="auto"/>
        </w:rPr>
      </w:pPr>
      <w:r>
        <w:rPr>
          <w:rFonts w:ascii="Times New Roman" w:cs="Times New Roman" w:eastAsia="Times New Roman" w:hAnsi="Times New Roman"/>
          <w:sz w:val="18"/>
          <w:szCs w:val="18"/>
          <w:i w:val="1"/>
          <w:iCs w:val="1"/>
          <w:color w:val="auto"/>
        </w:rPr>
        <w:t>Left: Single subcutaneous dose of 0.5 mg/kg in C57BL/6 mice; Middle: single subcutaneous dose of 2 mg/kg in C57BL/6 mice; Right: single subcutaneous dose of 0.5 mg/kg in C57BL/6 mice</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Our Collaborations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business strategy is to develop and commercialize a broad pipeline of RNA medicines. As part of this strategy, we have entered into, and may enter into new partnership and collaboration agreements as a means of advancing our own therapeutic programs and maximizing their potential for patients, investing in third-party technologies to further strengthen PRISM and leveraging external partnerships to extend the reach of PRISM into therapeutic areas where our platform demonstrates a competitive advantage.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GSK</w:t>
      </w:r>
    </w:p>
    <w:p>
      <w:pPr>
        <w:spacing w:after="0" w:line="11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On December 13, 2022, Wave Life Sciences USA, Inc. ("Wave USA") and Wave Life Sciences UK Limited ("Wave UK"), two of our direct, wholly-owned subsidiaries entered into a Collaboration and License Agreement (the “GSK Collaboration Agreement”) with GSK, which became effective on January 27, 2023. Pursuant to the GSK Collaboration Agreement, we and GSK have agreed to collaborate on the research, development, and commercialization of oligonucleotide therapeutics. The discovery collaboration has an initial four-year research term and combines our proprietary discovery and drug development platform, PRISM</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with GSK’s novel genetic insights and its global development and commercial capabilities. In addition, the GSK Collaboration Agreement originally contained a global exclusive license to GSK for WVE-006, our first-in-class A-to-I(G) RNA editing candidate for alpha-1 antitrypsin deficiency, and in February 2026, we announced that we had regained full rights to WVE-006 from GSK.</w:t>
      </w:r>
    </w:p>
    <w:p>
      <w:pPr>
        <w:spacing w:after="0" w:line="9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Under the terms of the GSK Collaboration Agreement, we received an upfront payment of $170.0 million, which included a cash payment of $120.0 million and a $50.0 million equity investment. In addition, assuming GSK’s eight collaboration programs achieve initiation, development, launch, and commercialization milestones, we would be eligible to receive up to $2.8 billion in cash milestone payments, which are described in the following paragraphs.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collaboration currently includes (1) a discovery collaboration which enables us to advance up to three programs leveraging targets informed by GSK’s novel genetic insights; and (2) a discovery collaboration which enables GSK to advance up to eight programs leveraging PRISM and our oligonucleotide expertise and discovery capabilities. The collaboration will enable us to continue building a pipeline of transformational oligonucleotide-based therapeutics and unlock new areas of disease biology.</w:t>
      </w:r>
    </w:p>
    <w:p>
      <w:pPr>
        <w:spacing w:after="0" w:line="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GSK Collaboration Agreement includes options to extend the research term for up to three additional years, which would increase the number of programs available to both parties. We will lead all preclinical research for GSK and our collaboration programs up to IND-enabling studies. We will lead IND-enabling studies, clinical development and commercialization for our collaboration programs. GSK collaboration programs will transfer to GSK for IND-enabling studies, clinical development, and commercialization. Assuming GSK advances eight programs under the collaboration that achieve initiation, development, launch and commercial milestones, we would be eligible to receive up to $1.2 billion in initiation, development, and launch milestones and up to $1.6 billion in commercialization milestones, as well as tiered royalties into the low-teens as a percentage of net sales. Assuming we advance our collaboration programs through the achievement of pre-determined milestones, GSK would be eligible to receive royalty payments and commercial milestones from us.</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GSK Collaboration Agreement, each party grants to the other party certain licenses to the collaboration products resulting from the parties’ respective collaboration programs as well as specific intellectual property licenses to enable the other party to perform its obligations and exercise its rights under the GSK Collaboration Agreement, including license grants to enable each party to conduct research, development, and commercialization activities pursuant to the terms of the GSK Collaboration Agreement. The parties’ exclusivity obligations to each other are limited on a target-by-target basis with regard to targets in the collaboration.</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GSK Collaboration Agreement, unless terminated earlier, will continue until the date on which: (i) with respect to a validation target, the date on which such validation target is not advanced into a collaboration program; or (ii) with respect to a collaboration target, the royalty term has expired for all collaboration products directed to the applicable collaboration target. The GSK Collaboration Agreement contains customary termination provisions, including certain termination rights for convenience, breach, and others, including on a target/program basis or of the GSK Collaboration Agreement in its entirety.</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respect to the $50.0 million equity investment referred to above, simultaneously with our entry into the GSK Collaboration Agreement, we entered into a share purchase agreement with Glaxo Group Limited (“GGL”), an affiliate of GSK, pursuant to which we agreed to sell to GGL 10,683,761 of our ordinary shares at a purchase price of $4.68 per share, for an aggregate purchase price of approximately $50.0 million (the “GSK Equity Investment”). The GSK Equity Investment closed on January 26, 2023. The shares purchased by GGL in the GSK Equity Investment carry certain registration rights, customary for transactions of this kind.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Asuragen</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November 2019, we entered into an agreement with Asuragen (which was acquired by Bio-Techne Corporation in April 2021), a molecular diagnostics company, for the development and potential commercialization of companion diagnostics for our investigational allele-selective therapeutic programs targeting HD. This collaboration uses Asuragen’s market-leading repetitive sequence diagnostic expertise to provide scalable SNP phasing to support development programs and future commercialization at a global level. Asuragen has leveraged its AmplideX® PCR technology to develop companion diagnostic tests designed to size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ind w:right="420"/>
        <w:spacing w:after="0" w:line="282" w:lineRule="auto"/>
        <w:rPr>
          <w:sz w:val="20"/>
          <w:szCs w:val="20"/>
          <w:color w:val="auto"/>
        </w:rPr>
      </w:pPr>
      <w:r>
        <w:rPr>
          <w:rFonts w:ascii="Times New Roman" w:cs="Times New Roman" w:eastAsia="Times New Roman" w:hAnsi="Times New Roman"/>
          <w:sz w:val="18"/>
          <w:szCs w:val="18"/>
          <w:color w:val="auto"/>
        </w:rPr>
        <w:t>phase HTT CAG repeats with the SNPs targeted by WVE-003, our HD program. These tests are designed to aid clinicians in selecting HD patients by identifying the SNPs that are in phase with the CAG-expanded allele.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provide internal cGMP manufacturing capabilities of drug substance and increase control and visibility of our drug product supply chain, we entered into a lease in September 2016 for a multi-use facility of approximately 90,000 square feet in Lexington, Massachusetts and initiated the build out of manufacturing space and related capabilities. Through our internal manufacturing, we have the capacity to support multiple discovery-, preclinical-, and early clinical-stage programs and have the established expertise to efficiently conduct manufacturing runs for oligonucleotides across a spectrum of modalities. In addition to manufacturing space, the Lexington facility includes additional laboratory and office space. This facility supplements our existing Cambridge, Massachusetts laboratory and office space headquarters, enhances our ability to secure drug substance for current and future development activities and may provide commercial-scale manufacturing capabilities. In July 2017, we took occupancy of the Lexington facility and began manufacturing production in the fourth quarter of 2017.</w:t>
      </w:r>
    </w:p>
    <w:p>
      <w:pPr>
        <w:spacing w:after="0" w:line="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that leveraging our internal manufacturing capabilities along with expertise from CMOs facilitates our growth and enhances our ability to secure drug substance for current and future research, clinical and early-stage commercial development activities. We believe that the addition of our internal cGMP manufacturing capabilities, together with the supply capacity we have established externally, will be sufficient to meet our anticipated manufacturing needs for the next several years. We monitor the availability of capacity for the manufacture of drug substance and drug product and believe that our supply agreements with our contract manufacturers and the lead times for new supply agreements would allow us to access additional capacity if needed. We believe that our product candidates can be manufactured at scale and with production and procurement efficiencies that will result in commercially competitive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we have a strong intellectual property position relating to the development and commercialization of our stereopure oligonucleotides. Our intellectual property portfolio includes filings designed to protect stereopure oligonucleotide compositions generally, as well as filings designed to protect stereopure compositions of oligonucleotides with particular stereochemical patterns (for example, that affect or confer biological activity). Our portfolio also includes filings for both proprietary methods and reagents, as well as various chemical methodologies that enable production of such stereopure oligonucleotide compositions. In addition, our portfolio includes filings designed to protect methods of using stereopure oligonucleotide compositions and filings designed to protect particular stereopure oligonucleotide products, such as those having a particular sequence, pattern of nucleoside and/or backbone modification, pattern of backbone linkages and/or pattern of backbone chiral centers.</w:t>
      </w:r>
    </w:p>
    <w:p>
      <w:pPr>
        <w:spacing w:after="0" w:line="81"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own or have rights to worldwide patent filings that protect our proprietary technologies for making stereopure oligonucleotide compositions, and that also protect the compositions themselves, as well as methods of using them, including in the treatment of diseases. Our portfolio includes multiple issued patents, including in major market jurisdictions such as the United States, Europe and Japan. We also have applications pending in multiple jurisdictions around the world, including these major market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Synthetic Methodologies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patent portfolio includes multiple families that protect synthetic methodologies and/or reagents for generating stereopure oligonucleotide compositions.</w:t>
      </w:r>
    </w:p>
    <w:p>
      <w:pPr>
        <w:spacing w:after="0" w:line="1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Certain such families have 20-year expiration dates that range from 2029 to at least 2045. Some of these families have issued patents in several jurisdictions, including in major market jurisdictions such as the United States, Europe, and/or Japan, have pending applications in multiple jurisdictions including in these major market jurisdictions, or are in the international stage.</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also co-own with the University of Tokyo filings that are directed to certain methods and/or reagents for synthesizing oligonucleotides; their 20-year expiration dates fall in 2031.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Stereopure Oligonucleotide Compositions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Certain of our patent filings protect stereopure compositions, particularly of therapeutically relevant oligonucleotides. Some such filings are directed to compositions whose oligonucleotides are characterized by particular patterns of chemical modification (including modifications of bases, sugars and/or internucleotidic linkages) and/or of internucleotidic linkage stereochemistry. Certain patent filings describe specific compositions designed for use in the treatment of particular diseases. Several of our patent filings directed to stereopure compositions have entered national stage prosecution in multiple jurisdictions and some have issued in one or more jurisdictions; others are in the international stage. Certain filings offer 20-year protection terms that range from 2033 to at least 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200"/>
        <w:spacing w:after="0" w:line="282" w:lineRule="auto"/>
        <w:rPr>
          <w:sz w:val="20"/>
          <w:szCs w:val="20"/>
          <w:color w:val="auto"/>
        </w:rPr>
      </w:pPr>
      <w:r>
        <w:rPr>
          <w:rFonts w:ascii="Times New Roman" w:cs="Times New Roman" w:eastAsia="Times New Roman" w:hAnsi="Times New Roman"/>
          <w:sz w:val="18"/>
          <w:szCs w:val="18"/>
          <w:color w:val="auto"/>
        </w:rPr>
        <w:t>We also co-own with Shin Nippon Biomedical Laboratories, Ltd. various patent families, some of which include one or more issued patents, including in major market jurisdictions; these filings have 20-year terms extending to 2033-2035.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Filings</w:t>
      </w:r>
    </w:p>
    <w:p>
      <w:pPr>
        <w:spacing w:after="0" w:line="1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maintain a thoughtful and ambitious program for developing and protecting additional intellectual property, including new synthetic methodologies and reagents. We also intend to prepare and submit patent filings specifically directed to protecting individual product candidates and their uses as we finalize leads and collect relevant data, which is expected to include comparison data confirming novel and/or beneficial attributes of our product candidates.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 Intellectual Property Law</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Section 34 of the Patents Act 1994 of Singapore (the “Singapore Patents Act”) provides that a person residing in Singapore is required to obtain written authorization from the Singapore Registrar of Patents (the “Registrar”) before filing an application for a patent for an invention outside of Singapore, unless all of the following conditions have been satisfied: (a) the person has filed an application for a patent for the same invention in the Singapore Registry of Patents at least two months before the filing of the patent application outside Singapore, and (b) the Singapore Registrar of Patents has not, in respect of this patent application, given directions to prohibit or restrict the publication of information contained in the patent application or its communication to any persons or description of persons pursuant to Section 33 of the Singapore Patents Act, or if the Registrar has given any such directions, all such directions have been revoked. A violation of Section 34 is a criminal offense punishable by a fine not exceeding S$5,000, or imprisonment for a term not exceeding two years, or both. There have been some instances where we have undertaken filings outside of Singapore, and there may be instances where we are required to make such filings in the future, without first obtaining written authorization from the Registrar. We have notified the Registrar of such filings and we have since implemented measures to address the requirements of Section 34 moving forward. To date, the Registrar has offered a compound of some of the offences considered against payment of a sum of S$50 to S$150 per considered case. Under Singapore law, the Registrar has discretion to offer a compound of such offences against payment of a sum of money of up to S$2,500, or to prosecute the offence subject to the other penalties noted above. Per requests in the Registrar’s most recent decision, we have submitted approximately 140 patent applications in multiple patent families, most of which are related to previously reported applications, to the Intellectual Property Office of Singapore (“IPOS”). The IPOS may consider the filing of some or all of these applications to have breached Section 34 requirements per IPOS’ current interpretation of Section 34, and we are waiting for IPOS’ decision on these applications. We cannot assure you that the Registrar will offer to compound any such violations of Section 34, or that any offer to compound will be for an amount similar to previous compound offers.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marketplace is characterized by rapidly advancing technologies, intense competition and a strong emphasis on proprietary products. While we believe that our expertise in oligonucleotides,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Not only must we compete with other companies that are focused on oligonucleotides, but any product candidates that we successfully develop and commercialize will compete with existing therapies and new therapies that may become available in the future.</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Many of our competitors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Obesity</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There are two GLP-1 receptor agonists approved in the United States for the treatment of obesity: Saxenda (liraglutide, Novo Nordisk) and Wegovy / Wegovy pill (semaglutide, Novo Nordisk). Zepbound (tirzepatide, Eli Lilly), approved by the FDA in November 2023, is a GLP-1/GIP receptor agonist. Beyond these approved therapies, there are other investigational oral GLP-1 receptor agonists, other GLP-1 receptor agonist combinations (e.g., GLP-1/GIP/glucagon receptor agonists, GLP-1/glucagon receptor agonists, GLP-1/amylin receptor agonists, GLP-1/GLP-2 receptor agonists, etc.), and other mechanisms (e.g., amylin) in various stages of clinical development. Other FDA-approved therapies for obesity include Xenical (H2-Pharma), Qsymia (Vivus), and Contrave (Currax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60"/>
        <w:spacing w:after="0" w:line="261" w:lineRule="auto"/>
        <w:rPr>
          <w:sz w:val="20"/>
          <w:szCs w:val="20"/>
          <w:color w:val="auto"/>
        </w:rPr>
      </w:pPr>
      <w:r>
        <w:rPr>
          <w:rFonts w:ascii="Times New Roman" w:cs="Times New Roman" w:eastAsia="Times New Roman" w:hAnsi="Times New Roman"/>
          <w:sz w:val="18"/>
          <w:szCs w:val="18"/>
          <w:color w:val="auto"/>
        </w:rPr>
        <w:t>Arrowhead, Rona Therapeutics, Vial, BaseCure Therapeutics, SanegeneBio, and Hengrui have siRNA programs targeting INHBE in Phase 1 or Phase 1/2 development, and Alnylam and Innovent, among others, have preclinical INHBE programs. iBio has a preclinical antibody program targeting Activin E. In addition, multiple other companies are pursuing approaches for obesity that are complementary to GLP-1 receptor agonists and aim to reduce fat mass while preserving or increasing lean mass.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Alpha-1 Antitrypsin Deficiency (“AATD”)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are five treatments approved in the United States for AATD: Prolastin (Grifols), Prolastin-C (Grifols), Aralast NP (Takeda), Zemaira (CSL Behring), and Glassia (Takeda). All five contain plasma-derived human alpha1-proteinase inhibitor and are indicated for chronic augmentation and maintenance therapy in adults with emphysema due to congenital deficiency of alpha1-proteinase inhibitor (Alpha1-PI). The prescribing information for each states that the effect of augmentation therapy with any alpha1-proteinase inhibitor on pulmonary exacerbations and on the progression of emphysema in Alpha1-PI deficiency has not been demonstrated in randomized, controlled clinical trials.</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our knowledge, there are no RNA editing programs currently in clinical development for AATD other than WVE-006, but Korro Bio and AIRNA have programs in preclinical development. Beam Therapeutics has a Phase 1/2 study and YolTech Therapeutics has a Phase 1 investigator-initiated trial ongoing with a DNA base editing approach, and three companies are developing prime editing approaches, including Tessera Therapeutics, which is initiating a Phase 1/2 study, and CRISPR Therapeutics and Prime Medicine which have programs in preclinical development. There are also a number of companies with investigational drugs in clinical development for AATD lung disease: Krystal Biotech (Phase 1), Mereo BioPharma (Phase 2 completed), and Sanofi (Phase 2), among others. Arrowhead Pharmaceuticals and Takeda have an investigational drug in Phase 3 clinical development for AATD liver disease.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Duchenne Muscular Dystrophy (“DMD”)</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There are two exon skipping treatments approved in the United States for the treatment of DMD in patients who have a confirmed mutation of the DMD gene amenable to exon 53 skipping: Sarepta Therapeutics’ Vyondys 53 (golodirsen) was approved in 2019, and NS Pharma’s Viltepso (viltolarsen) was approved in 2020. Both therapies received accelerated approval based on dystrophin production, and in accordance with US accelerated approval regulations, the FDA is requiring Sarepta and NS Pharma to each conduct a clinical trial to verify and describe their drug’s clinical benefit. If the trials fail to verify clinical benefit, the FDA could initiate proceedings to withdraw approval of the respective drug. To date, no clinical benefit of Vyondys 53 or Viltepso has been established.</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Sarepta Therapeutics’ Elevidys, a microdystrophin gene therapy, is available in the United States and some ex-EU markets. Its current indication in the US is for ambulatory patients with DMD aged at least four years who have a confirmed mutation in the DMD gene. This includes patients who have a DMD mutation amenable to exon 53 skipping.</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Other therapies available for DMD include Catalyst Pharmaceuticals’ Agamree (vamorolone), an alternative steroid which was approved in the US and EU in 2023, PTC Therapeutics’ Emflaza (steroid, now generic), and Italfarmaco/ITF Therapeutics’ Duvyzat (givinostat), a histone deacetylase inhibitor which was approved in the United States in 2024.</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Several other companies have investigational drugs in clinical development targeting DMD more broadly, including patients amenable to exon 53 skipping. These include Capricor Therapeutics (Preregistration with FDA), Dystrogen Therapeutics (Phase 1), Edgewise Therapeutics (Phase 2), Regenxbio (Phase 3), Satellos Bioscience (Phase 1), and Solid Biosciences (Phase 3), among others. Based on available information, we do not believe there are other companies with investigational programs specifically for exon 53 skipping in clinical development. Several companies also have ongoing preclinical programs for DMD that may directly or indirectly target patients amenable to exon 53 skipping. These companies include Dyne Therapeutics, Precision BioSciences, and Vertex Pharmaceuticals, among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Huntington’s Disease (“HD”)</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are no approved treatments available to slow the progression of HD. Austedo (Teva), tetrabenazine (generic), and, in 2023, Ingrezza (Neurocrine Biosciences) have been approved for the treatment of chorea associated with HD.</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based on publicly available information, that Alnylam (Phase 1), Annexon Biosciences (Phase 2 completed), Ionis Pharmaceuticals and Roche (allele-selective in Phase 1 and pan-silencing in Phase 2), Prilenia Therapeutics (Phase 3), PTC Therapeutics / Novartis (Phase 2), Roche (Phase 1/2), Skyhawk Therapeutics (Phase 2/3), uniQure (Phase 1/2), and Vico Therapeutics (Phase 1/2), among others, have investigational drugs aimed at slowing the progression of HD in clinical development. To our knowledge, we have the most advanced clinical stage program targeting allele-selective mHTT lowering.</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Several companies have ongoing discovery or preclinical programs for HD, including Atalanta Therapeutics, Ophidion, Sangamo Therapeutics and Takeda, Sarepta Therapeutics, and Voyager Therapeutics and Novartis, among others.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Molecules to treat symptoms associated with HD are also in development. For instance, SOM Biotech has completed a Phase 2 study of an investigational agent for chorea in 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 for Drug Products</w:t>
      </w:r>
    </w:p>
    <w:p>
      <w:pPr>
        <w:spacing w:after="0" w:line="12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FDA or other requirements may subject a pharmaceutical company to a variety of administrative or judicial sanctions, such as the FDA’s refusal to approve pending applications, a clinical hold, warning letters, recall or seizure of drug products, partial or total suspension of production, withdrawal of drug products from the market, injunctions, fines, civil penalties or criminal prosecution.</w:t>
      </w:r>
    </w:p>
    <w:p>
      <w:pPr>
        <w:spacing w:after="0" w:line="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FDA approval is required before any new drug, such as a new molecular or chemical entity, or a new dosage form, new use or new route of administration of a previously approved product, can be marketed in the United States. The process required by the FDA before a new drug product may be marketed in the United States generally involves:</w:t>
      </w:r>
    </w:p>
    <w:p>
      <w:pPr>
        <w:spacing w:after="0" w:line="7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testing in compliance with applicable FDA good laboratory practice regulations and other requirements (“GLP”);</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for human clinical testing which must become effective before human clinical trials may begin in the United States;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at each site where a clinical trial will be performed before the trial may be initiated at that site;</w:t>
      </w:r>
    </w:p>
    <w:p>
      <w:pPr>
        <w:spacing w:after="0" w:line="53" w:lineRule="exact"/>
        <w:rPr>
          <w:rFonts w:ascii="Times New Roman" w:cs="Times New Roman" w:eastAsia="Times New Roman" w:hAnsi="Times New Roman"/>
          <w:sz w:val="18"/>
          <w:szCs w:val="18"/>
          <w:color w:val="auto"/>
        </w:rPr>
      </w:pPr>
    </w:p>
    <w:p>
      <w:pPr>
        <w:ind w:left="1020" w:hanging="503"/>
        <w:spacing w:after="0" w:line="312"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in accordance with good clinical practice (“GCP”), as well as other clinical research regulations, to establish safety and substantial evidence of effectiveness of the proposed product candidate for each intended use;</w:t>
      </w:r>
    </w:p>
    <w:p>
      <w:pPr>
        <w:spacing w:after="0" w:line="31" w:lineRule="exact"/>
        <w:rPr>
          <w:rFonts w:ascii="Times New Roman" w:cs="Times New Roman" w:eastAsia="Times New Roman" w:hAnsi="Times New Roman"/>
          <w:sz w:val="17"/>
          <w:szCs w:val="17"/>
          <w:color w:val="auto"/>
        </w:rPr>
      </w:pPr>
    </w:p>
    <w:p>
      <w:pPr>
        <w:ind w:left="1020" w:right="3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thorough characterization of the product candidate and establishment of acceptable standards to ensure suitable purity, identity, strength, quality and stability in compliance with cGMP;</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facility or facilities at which the product is manufactured to assess compliance with cGMP;</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one or more clinical trial site(s) or the sponsor’s site and/or contract research organization responsible for conduct of key clinical trials in accordance with GCP;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which must be accepted for filing by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if applicable;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manufacturing development, preclinical and clinical testing, and regulatory review process requires substantial time, effort and financial resources. Manufacturing development includes laboratory evaluation of product chemistry, formulation, development of manufacturing and control procedures, evaluation of stability, and the establishment of procedures to ensure continued product quality.</w:t>
      </w:r>
    </w:p>
    <w:p>
      <w:pPr>
        <w:spacing w:after="0" w:line="6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 xml:space="preserve">Nonclinical tests may include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(animal model) studies to assess the toxicity and other safety characteristics of the product candidate, as well as important aspects of drug pharmacology and PD. The Consolidated Appropriations Act for 2023, signed into law on December 29, 2022, (P.L. 117-</w:t>
      </w:r>
    </w:p>
    <w:p>
      <w:pPr>
        <w:spacing w:after="0" w:line="1" w:lineRule="exact"/>
        <w:rPr>
          <w:sz w:val="20"/>
          <w:szCs w:val="20"/>
          <w:color w:val="auto"/>
        </w:rPr>
      </w:pPr>
    </w:p>
    <w:p>
      <w:pPr>
        <w:ind w:right="20" w:firstLine="8"/>
        <w:spacing w:after="0" w:line="253" w:lineRule="auto"/>
        <w:tabs>
          <w:tab w:leader="none" w:pos="3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the FDCA and the Public Health Service Act to specify that nonclinical testing for drugs and biologics may, but is not required to, include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animal testing. According to the amended language, a sponsor may fulfill nonclinical testing requirements by completing various</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assays (e.g.,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cell-based assays, organ chips, or microphysiological systems),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studies (i.e., computer modeling), other human or nonhuman biology-based tests (e.g., bioprinting),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results of nonclinical tests, together with manufacturing information, analytical data and a proposed clinical trial protocol and other information, are submitted as part of an IND to the FDA. Some long-term nonclinical testing to further establish the safety profile of the product candidate, as well as manufacturing processes development and drug quality evaluation, continues after the IND is submitted. An IND automatically becomes effective 30 days after receipt by the FDA, unless the FDA, within the 30-day time period, raises concerns or questions related to the proposed clinical trial and places the IND on a clinical hold. In such a case, the IND sponsor must resolve all outstanding concerns before the clinical trial can begin. As a result, our submission of an IND may not result in FDA authorization to commence a clinical trial. A separate submission to an existing IND must also be made for each successive clinical trial conducted during product development, or if changes are made in trial design. Even if the IND becomes effective and the trial proceeds without initial FDA objection, the FDA may stop the trial at a later time if it has concerns, such as if unacceptable safety risks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3" w:name="page24"/>
    <w:bookmarkEnd w:id="23"/>
    <w:p>
      <w:pPr>
        <w:ind w:right="80"/>
        <w:spacing w:after="0" w:line="256" w:lineRule="auto"/>
        <w:rPr>
          <w:sz w:val="20"/>
          <w:szCs w:val="20"/>
          <w:color w:val="auto"/>
        </w:rPr>
      </w:pPr>
      <w:r>
        <w:rPr>
          <w:rFonts w:ascii="Times New Roman" w:cs="Times New Roman" w:eastAsia="Times New Roman" w:hAnsi="Times New Roman"/>
          <w:sz w:val="18"/>
          <w:szCs w:val="18"/>
          <w:color w:val="auto"/>
        </w:rPr>
        <w:t>Further, an IRB for each site proposing to conduct the clinical trial must review and approve the plan for any clinical trial and informed consent information for subjects before the trial commences at that site and it must perform an ongoing review of the research on an annual basis until the trial is completed. The FDA or the sponsor may suspend a clinical trial at any time on various grounds, including a finding that the subjects or patients are being exposed to an unacceptable health risk or that the trials are not being conducted in accordance with the clinical plan or in compliance with GCP.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human subjects under the supervision of qualified investigators in accordance with GCP, as well as other regulations, which include, among other things, the requirement that all research subjects provide their informed consent in writing for their participation in any clinical trial. Sponsors of clinical trials of certain FDA-regulated products generally must register and disclose certain clinical trial information to a public registry maintained by the National Institutes of Health (“NIH”). In particular, information related to the product, patient population, phase of investigation, study site locations and other aspects of the clinical trial are made public as part of the registration of the clinical trial. Competitors may use this publicly available information to gain knowledge regarding the progress of development programs. Although sponsors are also obligated to disclose the results of their clinical trials after completion, such disclosure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the government has brought enforcement actions against non-compliant clinical trial sponsors.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the following sequential phases, which may overlap or be combined:</w:t>
      </w:r>
    </w:p>
    <w:p>
      <w:pPr>
        <w:spacing w:after="0" w:line="113" w:lineRule="exact"/>
        <w:rPr>
          <w:sz w:val="20"/>
          <w:szCs w:val="20"/>
          <w:color w:val="auto"/>
        </w:rPr>
      </w:pPr>
    </w:p>
    <w:p>
      <w:pPr>
        <w:ind w:left="1020" w:right="680" w:hanging="503"/>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1. </w:t>
      </w:r>
      <w:r>
        <w:rPr>
          <w:rFonts w:ascii="Times New Roman" w:cs="Times New Roman" w:eastAsia="Times New Roman" w:hAnsi="Times New Roman"/>
          <w:sz w:val="18"/>
          <w:szCs w:val="18"/>
          <w:color w:val="auto"/>
        </w:rPr>
        <w:t>The product is initially introduced into healthy human subjects or patients and tested for safety, dose tolerance, absorption,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metabolism, distribution and excretion and, if possible, to gain an early indication of its effectiveness.</w:t>
      </w:r>
    </w:p>
    <w:p>
      <w:pPr>
        <w:spacing w:after="0" w:line="46" w:lineRule="exact"/>
        <w:rPr>
          <w:rFonts w:ascii="Times New Roman" w:cs="Times New Roman" w:eastAsia="Times New Roman" w:hAnsi="Times New Roman"/>
          <w:sz w:val="18"/>
          <w:szCs w:val="18"/>
          <w:color w:val="auto"/>
        </w:rPr>
      </w:pPr>
    </w:p>
    <w:p>
      <w:pPr>
        <w:ind w:left="1020" w:right="240" w:hanging="503"/>
        <w:spacing w:after="0" w:line="26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2. </w:t>
      </w:r>
      <w:r>
        <w:rPr>
          <w:rFonts w:ascii="Times New Roman" w:cs="Times New Roman" w:eastAsia="Times New Roman" w:hAnsi="Times New Roman"/>
          <w:sz w:val="18"/>
          <w:szCs w:val="18"/>
          <w:color w:val="auto"/>
        </w:rPr>
        <w:t>The product is administered to a limited patient population to identify possible adverse effects and safety risks, to preliminarily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 the efficacy of the product for specific targeted indications and to determine dose tolerance and optimal dosage. Multiple Phase 2 clinical trials may be conducted by the sponsor to obtain information prior to beginning larger and more extensive clinical trials.</w:t>
      </w:r>
    </w:p>
    <w:p>
      <w:pPr>
        <w:spacing w:after="0" w:line="62" w:lineRule="exact"/>
        <w:rPr>
          <w:rFonts w:ascii="Times New Roman" w:cs="Times New Roman" w:eastAsia="Times New Roman" w:hAnsi="Times New Roman"/>
          <w:sz w:val="18"/>
          <w:szCs w:val="18"/>
          <w:color w:val="auto"/>
        </w:rPr>
      </w:pPr>
    </w:p>
    <w:p>
      <w:pPr>
        <w:ind w:left="1020" w:right="120" w:hanging="503"/>
        <w:spacing w:after="0" w:line="26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3. </w:t>
      </w:r>
      <w:r>
        <w:rPr>
          <w:rFonts w:ascii="Times New Roman" w:cs="Times New Roman" w:eastAsia="Times New Roman" w:hAnsi="Times New Roman"/>
          <w:sz w:val="18"/>
          <w:szCs w:val="18"/>
          <w:color w:val="auto"/>
        </w:rPr>
        <w:t>These are commonly referred to as pivotal studies. When Phase 2 evaluations demonstrate that a dose range of the product appears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effective and has an acceptable safety profile, trials are undertaken in larger patient populations to further evaluate dosage, to obtain substantial, statistical evidence of clinical efficacy and safety, generally at multiple, geographically-dispersed clinical trial sites, to establish the overall risk-benefit relationship of the product and to provide adequate information for approval of the product.</w:t>
      </w:r>
    </w:p>
    <w:p>
      <w:pPr>
        <w:spacing w:after="0" w:line="68" w:lineRule="exact"/>
        <w:rPr>
          <w:rFonts w:ascii="Times New Roman" w:cs="Times New Roman" w:eastAsia="Times New Roman" w:hAnsi="Times New Roman"/>
          <w:sz w:val="18"/>
          <w:szCs w:val="18"/>
          <w:color w:val="auto"/>
        </w:rPr>
      </w:pPr>
    </w:p>
    <w:p>
      <w:pPr>
        <w:ind w:left="1020" w:right="220" w:hanging="503"/>
        <w:spacing w:after="0" w:line="26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4. </w:t>
      </w:r>
      <w:r>
        <w:rPr>
          <w:rFonts w:ascii="Times New Roman" w:cs="Times New Roman" w:eastAsia="Times New Roman" w:hAnsi="Times New Roman"/>
          <w:sz w:val="18"/>
          <w:szCs w:val="18"/>
          <w:color w:val="auto"/>
        </w:rPr>
        <w:t>In some cases, the FDA may condition approval of an NDA for a product candidate on the sponsor’s agreement to conduct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clinical trials to further assess the product’s safety and effectiveness after NDA approval. Such post-approval trials are typically referred to as Phase 4 studies.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Progress reports detailing progress and safety data gathered from clinical trials must be submitted at least annually to the FDA. Safety reports are submitted more frequently if certain SAEs occur. Phase 1, Phase 2 and Phase 3 clinical trials may not be completed successfully within any specified period, or at all. The FDA will typically inspect one or more clinical sites to assure compliance with GCP and the integrity of the clinical data submitted as part of NDA review.</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Consolidated Appropriations Act for 2023, Congress amended the FDCA to require sponsors of a Phase 3 clinical trial, or other “pivotal study” of a new drug to support marketing authorization, to submit a diversity action plan for such clinical trial. The action plan must include the sponsor’s diversity goals for enrollment, as well as a rationale for the goals and a description of how the sponsor will meet them. A sponsor must submit a diversity action plan to FDA by the time the sponsor submits the trial protocol to the agency for review. The FDA may grant a waiver for some or all of the requirements for a diversity action plan. If FDA objects to a sponsor’s diversity action plan and requires the sponsor to amend the plan or take other actions, it may delay trial initiation.</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along with information relating to the product’s pharmacology, chemistry, manufacturing, and controls, and proposed labeling, are submitted to the FDA as part of an NDA requesting approval to market the product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Under federal law, the fee for the submission of an NDA with clinical data is substantial (for example, for fiscal year 2026 this application fee exceeds $4.6 million), and the sponsor of an approved NDA is also subject to an annual program fee, currently more than $440,000 per program. These fees are typically adjusted annually, but exemptions and waivers may be available under certain circumstances, including NDA fees for products with orphan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ind w:right="340"/>
        <w:spacing w:after="0" w:line="266" w:lineRule="auto"/>
        <w:rPr>
          <w:sz w:val="20"/>
          <w:szCs w:val="20"/>
          <w:color w:val="auto"/>
        </w:rPr>
      </w:pPr>
      <w:r>
        <w:rPr>
          <w:rFonts w:ascii="Times New Roman" w:cs="Times New Roman" w:eastAsia="Times New Roman" w:hAnsi="Times New Roman"/>
          <w:sz w:val="18"/>
          <w:szCs w:val="18"/>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review. Any resubmitted application, following a refusal to file action, is also subject to 60-day review before the FDA accepts it for filing.</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(“PDUFA”), for original NDAs, the FDA has ten months from the filing date in which to complete its initial review of a standard application and respond to the applicant, and six months from the filing date for an application with priority review. For all new molecular entity (“NME”) NDAs, the ten and six-month time periods run from the filing date; for all other original applications, the ten and six-month time periods run from the submission date. Despite these review goals, it is not uncommon for FDA review of an NDA to extend beyond the goal date.</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Once the submission has been accepted for filing, the FDA begins an in-depth review. As noted above, the FDA has agreed to specified performance goals in the review process of NDAs. Most such applications are meant to be reviewed within ten months from the date it is accepted for filing (i.e., within 12 months from submission), and most applications for “priority review” products are meant to be reviewed within six months from the date the application is accepted for filing (i.e., within eight months from submission). The review process may be extended by the FDA for three additional months to consider new information or in the case of a clarification provided by the applicant to address an outstanding deficiency identified by the FDA following the original submission.</w:t>
      </w:r>
    </w:p>
    <w:p>
      <w:pPr>
        <w:spacing w:after="0" w:line="7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Before approving an NDA, the FDA may inspect the facility or facilities where the product is manufactured. The FDA will not approve an application unless it determines that the manufacturing processes and facilities are in compliance with cGMP. The FDA may also inspect one or more of the clinical sites where pivotal trials were conducted and the contract research organization facilities with oversight of the trial, in order to ensure compliance with GCP and the integrity of the study data.</w:t>
      </w:r>
    </w:p>
    <w:p>
      <w:pPr>
        <w:spacing w:after="0" w:line="7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Additionally, the FDA may refer any NDA, including applications for novel drug candidates which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The FDA likely will re-analyze the clinical trial data, which could result in extensive discussions between the FDA and the applicant during the NDA review process. The FDA also may require submission of a risk evaluation and mitigation strategy (“REMS”) if it determines that a REMS is necessary to ensure that the benefits of the drug outweigh its risks and to assure the safe use of the drug or biological product. The REMS could include medication guides, physician communication plans, assessment plans and/or elements to assure safe use, such as restricted distribution methods, patient registries or other risk minimization tools. In addition, the REMS must include a timetable to assess the strategy, often at 18 months, three years, and seven years after the strategy’s approval. The FDA determines the requirement for a REMS, as well as the specific REMS provisions, on a case-by-case basis. If the FDA concludes a REMS is needed, the sponsor of the NDA must submit a proposed REMS. The FDA will not approve an NDA without a REMS, if required.</w:t>
      </w:r>
    </w:p>
    <w:p>
      <w:pPr>
        <w:spacing w:after="0" w:line="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determining whether a REMS is necessary, the FDA may consider the size of the population likely to use the drug, the seriousness of the disease or condition to be treated, the expected benefit of the drug, the duration of treatment, the seriousness of known or potential adverse events, and whether the drug is an NME. If the FDA determines a REMS is necessary, the drug sponsor must agree to the REMS plan at the time of approval, or at a later date should significant new risk information come to light. The FDA may impose a REMS requirement on a drug already on the market if the FDA determines, based on new safety information, that a REMS is necessary to ensure that the drug’s benefits outweigh its risks.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(“PREA”), as amended, an NDA or supplement to an NDA must contain data that are adequate to assess the safety and efficacy of the product candidate for the claimed indications in all relevant pediatric populations and to support dosing and administration for each pediatric population for which the product is safe and effective. The FDA may grant deferrals for submission of pediatric data or full or partial waivers. PREA requires a sponsor who is planning to submit a marketing application for a product that includes a new active ingredient, new indication, new dosage form, new dosing regimen or new route of administration to submit an initial Pediatric Study Plan (“PSP”) within 60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spacing w:after="0" w:line="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The approval process is lengthy and often difficult, and the FDA may refuse to approve an NDA if the applicable regulatory criteria are not satisfied or may require additional clinical or other data and information. On the basis of the FDA’s evaluation of the NDA and accompanying information, including the results of the inspection of the manufacturing facilities, it may issue an approval letter or a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5" w:name="page26"/>
    <w:bookmarkEnd w:id="25"/>
    <w:p>
      <w:pPr>
        <w:ind w:right="20"/>
        <w:spacing w:after="0" w:line="253" w:lineRule="auto"/>
        <w:rPr>
          <w:sz w:val="20"/>
          <w:szCs w:val="20"/>
          <w:color w:val="auto"/>
        </w:rPr>
      </w:pPr>
      <w:r>
        <w:rPr>
          <w:rFonts w:ascii="Times New Roman" w:cs="Times New Roman" w:eastAsia="Times New Roman" w:hAnsi="Times New Roman"/>
          <w:sz w:val="18"/>
          <w:szCs w:val="18"/>
          <w:color w:val="auto"/>
        </w:rPr>
        <w:t>Response Letter (“CRL”). An approval letter authorizes commercial marketing of the product with specific prescribing information for specific indications. A CRL indicates that the review cycle for an application is complete and that the application will not be approved in its present form. A CRL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nonclinical studies or manufacturing. In September 2025, the FDA began publishing CRLs soon after issuing them to the respective sponsors, breaking with long standing agency tradition of publishing CRLs with approval documentation after the product is approved. Although the CRLs are made public, the FDA redacts trade secrets and confidential commercial information prior to release. If a CRL is issued, the applicant may choose to either resubmit the NDA addressing all of the deficiencies identified in the letter or withdraw the application. The FDA has committed to reviewing such resubmissions in response to an issued CRL in either two or six months depending on the type of information included. Even with submission of this additional information, the FDA ultimately may decide that the application does not satisfy the regulatory criteria for approval. If and when the deficiencies have been addressed to the FDA’s satisfaction, the FDA will typically issue an approval letter.</w:t>
      </w:r>
    </w:p>
    <w:p>
      <w:pPr>
        <w:spacing w:after="0" w:line="8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Products may be marketed only for the approved indications and in accordance with the provisions of the approved label and, even if the FDA approves a product, the FDA may limit the approved indications for use for the product or impose other conditions, including labeling or distribution restrictions or other risk-management mechanisms, such as a Boxed Warning, which highlights a serious safety concern that should be mitigated under a REMS program. Further, if there are any modifications to the product, including changes in indications, labeling, or manufacturing processes or facilities, a company is generally required to submit and obtain FDA approval of a supplemental NDA, which may require the company to develop additional data or conduct additional nonclinical studies and clinical trials.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Breakthrough Therapy and Priority Review Designations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NDA for a fast track product on a rolling basis before the complete application is submitted, if the sponsor and the FDA agree on a schedule for the submission of the application sections and the sponsor pays any required user fees upon submission of the first section of the NDA. In addition, fast track designation may be withdrawn by the sponsor or rescinded by the FDA if the designation is no longer supported by data emerging from the clinical trial process.</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in 2012 Congress created a regulatory program for product candidates designated by FDA as “breakthrough therapies” upon a request made by the IND sponsors.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of their respective marketing applications. The FDA must take certain actions with respect to breakthrough therapies, such as holding timely meetings with and providing advice to the product sponsor, which are intended to expedite the development and review of an application for approval of a breakthrough therapy.</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FDA may designate a product for priority review if it is a drug or biologic that treats a serious condition and, if approved, would provide a significant improvement in safety or effectiveness over existing therapy. The FDA determines at the time that the marketing application is submitted, on a case-by-case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NME NDA from the date of filing.</w:t>
      </w:r>
    </w:p>
    <w:p>
      <w:pPr>
        <w:spacing w:after="0" w:line="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2025, the FDA created a new pilot voucher program called the Commissioner’s National Priority Voucher (“CNPV”) with the goal of radically expediting the drug and biological product review and approval process. The agency may award a CNPV to a company or a specific product candidate that demonstrates alignment with certain national health priorities. The FDA aims to take action on a marketing application for which a CNPV is used within one to two months after the filing date. Even if a product qualifies for one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right="120"/>
        <w:spacing w:after="0" w:line="266" w:lineRule="auto"/>
        <w:rPr>
          <w:sz w:val="20"/>
          <w:szCs w:val="20"/>
          <w:color w:val="auto"/>
        </w:rPr>
      </w:pPr>
      <w:r>
        <w:rPr>
          <w:rFonts w:ascii="Times New Roman" w:cs="Times New Roman" w:eastAsia="Times New Roman" w:hAnsi="Times New Roman"/>
          <w:sz w:val="18"/>
          <w:szCs w:val="18"/>
          <w:color w:val="auto"/>
        </w:rPr>
        <w:t>more of these programs, the FDA may later decide that the product no longer meets the conditions for qualification or decide that the time period for FDA review or approval will not be shortened. Furthermore, none of these programs change the standards for approval and may not ultimately expedite the development or approval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or biologic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As a condition of approval, the FDA will require that a sponsor of a drug receiving accelerated approval perform post-marketing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spacing w:after="0" w:line="80"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There have been a limited number of Accelerated Approvals based on intermediate clinical endpoints.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spacing w:after="0" w:line="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accelerated approval pathway is contingent on a sponsor’s agreement to conduct, in a diligent manner, additional post-approval confirmatory study(ies) to verify and describe the drug’s clinical benefit. As a result, a drug approved on this basis is subject to rigorous post-marketing compliance requirements, including the completion of clinical trial(s) to establish the effect on the clinical endpoint. Failure to conduct and complete the required confirmatory study(ies) to confirm the predicted clinical benefit of the product would allow the FDA to withdraw approval of the drug. As part of the Consolidated Appropriations Act for 2023, Congress provided the FDA additional statutory authority to mitigate potential risks to patients from continued marketing of ineffective drugs previously granted accelerated approval. Under the act’s amendments to the FDCA, FDA may require the sponsor of a product to have a confirmatory trial underway as a condition for granting accelerated approval of the NDA. The sponsor must also submit progress reports on a confirmatory trial every six months until the trial is complete, and such reports are published on FDA’s website. The amendments also give FDA the option of using expedited procedures to withdraw product approval if the sponsor’s confirmatory trial fails to verify the claimed clinical benefits of the product.</w:t>
      </w:r>
    </w:p>
    <w:p>
      <w:pPr>
        <w:spacing w:after="0" w:line="8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 promotional materials for product candidates being considered and approved under the accelerated approval program are subject to prior review by the FDA.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Once an NDA is approved, a product will be subject to continuing regulation by the FDA, including, among other things, requirements relating to safety surveillance and adverse event reporting, periodic reporting, continued cGMP compliance and quality oversight, compliance with post-marketing commitments, recordkeeping, advertising and promotion, and reporting manufacturing and labeling changes, as applicable.</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(including third-party manufacturers) are required to register their establishments with the FDA and some state agencies and are subject to periodic announced or unannounced inspections by the FDA and some state agencies for assessment of compliance with cGMP. Changes to the manufacturing process are strictly regulated and often require prior FDA approval before being implemented. FDA regulations also require investigation and correction, and sometimes notification of, any deviations from cGMP. These regulations impose reporting and documentation requirements on the sponsor and any third-party manufacturers that we may decide to use. Accordingly, manufacturers must continue to expend time, money, and effort in the area of production and quality control to maintain cGMP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100"/>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Discovery of previously unknown problems with a product, including adverse events of unlisted severity or frequency, or with manufacturing processes, or failure to comply with regulatory requirements such as noncompliance with cGMP or failure to correct previously identified inspection findings,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79" w:lineRule="exact"/>
        <w:rPr>
          <w:sz w:val="20"/>
          <w:szCs w:val="20"/>
          <w:color w:val="auto"/>
        </w:rPr>
      </w:pPr>
    </w:p>
    <w:p>
      <w:pPr>
        <w:ind w:left="1020" w:right="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field alerts, restrictions on the marketing or manufacturing of the product, product recalls, or complete withdrawal of the product from the market;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enforcement-related letters or holds on clinical trials using the product or other products manufactured at the same facility;</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approval for any products approved through FDA’s accelerated approval pathway if required confirmatory trials are not completed on time, or at all;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While physicians may generally prescribe a drug for off-label uses, manufacturers may only promote the drug in accordance with the approved product label. The FDA and other agencies actively enforce the laws and regulations prohibiting the promotion of off-label uses, and a company that is found to have promoted false and misleading information about the product may be subject to significant liability, both at the federal and state levels.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drug product samples and impose requirements to ensure accountability in distribution. Furthermore, the Drug Supply Chain Security Act (“DSCSA”) was enacted with the aim of building an electronic system to identify and trace certain prescription drugs distributed in the United States. The DSCSA mandates resource-intensive obligations for pharmaceutical manufacturers, wholesale distributors, and dispensers. 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defined as one affecting fewer than 200,000 individuals in the United States or more than 200,000 individuals where there is no reasonable expectation that the product development cost will be recovered from product sales in the United States. Orphan drug designation must be requested before submitting an NDA. After the FDA grants orphan drug designation, the identity of the drug and its potential orphan use will be disclosed publicly by the FDA; the posting will also indicate whether a drug is no longer designated as an orphan drug. More than one product candidate may receive an orphan drug designation for the same indication. Orphan drug designation does not convey any advantage in or shorten the duration of the regulatory review and approval process.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PREA, submission of a pediatric assessment is not required for pediatric investigation of a product that has been granted orphan drug designation. However, under the FDA Reauthorization Act of 2017 (“FDASIA”), the scope of the PREA was extended to require pediatric studies for products intended for the treatment of an adult cancer that are directed at a molecular target and that are determined to be substantially relevant to the growth or progression of a pediatric cancer. In addition, the FDA finalized guidance in 2018 indicating that it does not expect to grant any additional orphan drug designation to products for pediatric subpopulations of common diseases. Nevertheless, the FDA intends to still grant orphan drug designation to a drug or biologic that otherwise meets all other criteria for designation when it prevents, diagnoses or treats either (i) a rare disease that includes a rare pediatric subpopulation,</w:t>
      </w:r>
    </w:p>
    <w:p>
      <w:pPr>
        <w:spacing w:after="0" w:line="5" w:lineRule="exact"/>
        <w:rPr>
          <w:sz w:val="20"/>
          <w:szCs w:val="20"/>
          <w:color w:val="auto"/>
        </w:rPr>
      </w:pPr>
    </w:p>
    <w:p>
      <w:pPr>
        <w:ind w:right="400" w:firstLine="8"/>
        <w:spacing w:after="0" w:line="260"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pediatric subpopulation that constitutes a valid orphan subset, or (iii) a rare disease that is in fact a different disease in the pediatric population as compared to the adult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ind w:right="100"/>
        <w:spacing w:after="0" w:line="254" w:lineRule="auto"/>
        <w:rPr>
          <w:sz w:val="20"/>
          <w:szCs w:val="20"/>
          <w:color w:val="auto"/>
        </w:rPr>
      </w:pPr>
      <w:r>
        <w:rPr>
          <w:rFonts w:ascii="Times New Roman" w:cs="Times New Roman" w:eastAsia="Times New Roman" w:hAnsi="Times New Roman"/>
          <w:sz w:val="18"/>
          <w:szCs w:val="18"/>
          <w:color w:val="auto"/>
        </w:rPr>
        <w:t>If an orphan drug-designated product subsequently receives FDA approval for the disease for which it was designed, the product will be entitled to seven years of product exclusivity, which means that the FDA may not approve any other applications to market the same drug for the same indication, except in very limited circumstances (such as a showing of clinical superiority to the product with orphan exclusivity by means of greater effectiveness, greater safety or providing a major contribution to patient care or in instances of drug supply issues), for seven years. Orphan exclusivity does not block the approval of a different drug or biologic for the same rare disease or condition, nor does it block the approval of the same drug or biologic for different conditions. If a competitor obtains approval of the same drug, as defined by the FDA, or if our product candidate is determined to be the same drug as a competitor’s product for the same indication or disease, the competitor’s exclusivity could block the approval of our product candidate in the designated orphan indication for seven years, unless our product is demonstrated to be clinically superior to the competitor’s drug.</w:t>
      </w:r>
    </w:p>
    <w:p>
      <w:pPr>
        <w:spacing w:after="0" w:line="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product with orphan drug designation may not receive orphan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7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Recent court cases have challenged the FDA’s approach to determining the scope of orphan drug exclusivity; however, at this time the agency continues to apply its long-standing interpretation of the governing regulations and has stated that it does not plan to change any orphan drug implementing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Orphan Drug Designation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EU, orphan drug designation by the European Commission (the “EC”) provides regulatory and financial incentives for companies to develop and market therapies that meet the following requirements: (1) the product is intended for the diagnosis, prevention or treatment of life-threatening or chronically debilitating conditions;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To be considered for orphan drug designation in the EU, companies must provide data that demonstrate the plausibility for use of the investigational therapy in the treatment of the disease and establish that the drug has the potential to provide relevant advantages or a major contribution to patient care over existing therapies.</w:t>
      </w:r>
    </w:p>
    <w:p>
      <w:pPr>
        <w:spacing w:after="0" w:line="8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Among the incentives available to medicines designated as orphan drugs by the EC are ten-year market exclusivity in the EU after product approval, eligibility for conditional marketing authorization, protocol assistance from the European Medicines Agency at reduced fees during the product development phase and direct access to centralized marketing authorization in the EU. The exclusivity period may be reduced to six years if, at the end of the fifth year, the orphan drug designation criteria are no longer met, including where it is shown that the product is sufficiently profitable not to justify maintenance of market exclusivity. In addition,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of the product. Marketing authorization may also be granted to a similar medicinal product with the same orphan indication if the similar product is deemed safer, more effective or otherwise clinically superior to the original orphan medicinal product. Orphan drug designation must be requested before submitting an application for marketing authorization. Orphan drug designation does not, in itself, convey any advantage in, or shorten the duration of, the regulatory review and authorization process.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 and Pediatric Use</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Best Pharmaceuticals for Children Act (“BPCA”) provides NDA holders a six-month period of non-patent marketing exclusivity attached to any other exclusivity listed with FDA—patent or non-patent—for a drug if certain conditions are met. Conditions for pediatric exclusivity include a determination by the FDA that information relating to the use of a new drug in the pediatric population may produce health benefits in that population; a written request by the FDA for pediatric studies; and agreement by the applicant to perform the requested studies, completion of the studies in accordance with the written request, and the acceptance by the FDA of the reports of the requested studies within the statutory timeframe.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the same drug product for the same indications. The issuance of a written request does not require the sponsor to undertake the described studies. Applications under the BPCA are treated as priority applications.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Act and Marketing Exclusivity</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authorized the FDA to approve generic drugs that are the same as drugs previously approved by the FDA under the NDA provisions of the statute and also enacted Section 505(b)(2) of the FDCA. To obtain approval of a generic drug, an applicant must submit an abbreviated new drug application (“ANDA”)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right="140"/>
        <w:spacing w:after="0" w:line="261" w:lineRule="auto"/>
        <w:rPr>
          <w:sz w:val="20"/>
          <w:szCs w:val="20"/>
          <w:color w:val="auto"/>
        </w:rPr>
      </w:pPr>
      <w:r>
        <w:rPr>
          <w:rFonts w:ascii="Times New Roman" w:cs="Times New Roman" w:eastAsia="Times New Roman" w:hAnsi="Times New Roman"/>
          <w:sz w:val="18"/>
          <w:szCs w:val="18"/>
          <w:color w:val="auto"/>
        </w:rPr>
        <w:t>agency. In support of such applications, a generic manufacturer may rely on the preclinical and clinical testing conducted for a drug product previously approved under an NDA, known as the reference listed drug (“RLD”). 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contrast, Section 505(b)(2) enables the applicant to rely, in part, on the FDA’s prior findings of safety and efficacy data for an existing product, or published literature, in support of its application. Section 505(b)(2) 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Section 505(b)(2) permits the filing of an NDA where at least some of the information required for approval comes from studies not conducted by or for the applicant and for which the applicant has not obtained a right of reference. A Section 505(b)(2) applicant may eliminate the need to conduct certain nonclinical or clinical studies, if it can establish that reliance on studies conducted for a previously approved product is scientifically appropriate. Unlike the ANDA pathway used by developers of bioequivalent versions of innovator drugs, which does not allow applicants to submit new clinical data other than bioavailability or bioequivalence data, the 505(b)(2) regulatory pathway does not preclude the possibility that a follow-on applicant would need to conduct additional clinical trials or nonclinical studies; for example, they may be seeking approval to market a previously approved drug for new indications or for a new patient population that would require new clinical data to demonstrate safety or effectiveness. The FDA may then approve the new product for all or some of the label indications for which the RLD has been approved, or for any new indication sought by the Section 505(b)(2) applicant, as applicable.</w:t>
      </w:r>
    </w:p>
    <w:p>
      <w:pPr>
        <w:spacing w:after="0" w:line="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Upon NDA approval of a new chemical entity (“NCE”), which is a drug that contains no active moiety that has been approved by the FDA in any other NDA, that drug receives five years of marketing exclusivity. During the exclusivity period, the FDA cannot accept for review any ANDA or 505(b)(2) NDA submitted by another company for another version of such drug where the applicant does not own or have a legal right of reference to all the data required for approval. However, a follow-on product application may be submitted one year before NCE exclusivity expires if a Paragraph IV certification, which states that the listed patent for the RLD is invalid or will not be infringed by the follow-on product, is filed on an NCE patent and any time after approval if the application is filed based on a new indication or a new formulation.</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Hatch-Waxman Act also provides three years of data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follow-on applications for drugs containing the original active agent. If there is no listed patent in the Orange Book, there may not be a Paragraph IV certification, and, thus, no ANDA or 505(b)(2) NDA may be filed before the expiration of the exclusivity period. Five-year and three-year exclusivity also will not delay the submission or approval of a traditional NDA filed under Section 505(b)(1) of the FDCA. However, an applicant submitting a traditional NDA would be required to either conduct or obtain a right of reference to all of the preclinical studies and adequate and well-controlled clinical trials necessary to demonstrate safety and effectiveness.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the use of our therapeutic candidates, some of our U.S. patents may be eligible for limited patent term extension under the Hatch-Waxman Act. The Hatch-Waxman Act permits a patent restoration term of up to five years as compensation for any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extension must be made prior to the expiration of the patent. The United States Patent and Trademark Office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Vitro Diagnostic Tests for Biomarkers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For some of our product candidates, we plan to work with collaborators to develop or obtain access to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tests to identify appropriate patients for these targeted therapies. If a sponsor or the FDA believes that a diagnostic test is essential for the safe and effective use of a corresponding therapeutic product, a sponsor will typically work with a collaborator to develop an appropriate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product (“IVD”) for such use. IVDs are regulated by the FDA as medical devices, and since 2014 the agency has issued final and draft guidance documents that are intended to assist companies developing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devices and companies developing therapeutic products that depend on the use of a specific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for the safe and effective use of the therapeutic product.</w:t>
      </w:r>
    </w:p>
    <w:p>
      <w:pPr>
        <w:spacing w:after="0" w:line="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three types of marketing pathways for medical devices, including IVDs, are clearance of a premarket notification under Section 510(k) of the FDCA (“510(k)”), approval of a premarket approval application (“PMA”) or authorization of a De Novo classification request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If a company is required to perform clinical trials to support the safety and effectiveness of an IVD, and the IVD is viewed as a significant risk device, the sponsor will have to submit an investigational device exemption application (“IDE”) to the FDA, which is similar in format and function to an IND. If the diagnostic test and the therapeutic drug are studied together to support their respective approvals, any clinical trials involving both product candidates must meet both the IDE and IND requirements.</w:t>
      </w:r>
    </w:p>
    <w:p>
      <w:pPr>
        <w:spacing w:after="0" w:line="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FDA expects that the therapeutic sponsor will address the need for an IVD companion diagnostic device in its therapeutic product development plan and that, in most cases, the therapeutic product and its corresponding IVD companion diagnostic device will be developed contemporaneously. If the companion diagnostic test will be used to make critical treatment decisions such as patient selection, treatment assignment, or treatment arm, it will likely be considered a significant risk device for which a clinical trial will be required. After approval, the use of an IVD companion diagnostic device with a therapeutic product will be stipulated in the instructions for use in the labeling of both the diagnostic device and the corresponding therapeutic product. In addition, a diagnostic test that was approved through the PMA process, or one that was cleared through the 510(k) process or classified through the De Novo process, and placed on the market will be subject to many of the same regulatory requirements that apply to approved drugs.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However, the FDA may decide that it is appropriate to approve such a therapeutic product without an approved or cleared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when the drug or therapeutic biologic is intended to treat a serious or life-threatening condition for which no satisfactory alternative treatment exists and the FDA determines that the benefits from the use of a product with an unapproved or uncleared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are so pronounced as to outweigh the risks from the lack of an approved or cleared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The FDA encourages sponsors considering developing a therapeutic product that requires a companion diagnostic to request a meeting with both relevant device and therapeutic product review divisions to ensure that the product development plan will produce sufficient data to establish the safety and effectiveness of both the therapeutic product and the companion diagnostic. Because the FDA’s policies on companion diagnostics is set forth only in guidance, this policy is subject to change and is not legally binding.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Regulation of Drug Products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regulations in the United States, we are and will be subject, either directly or through our distribution partners, to a variety of regulations in other jurisdictions governing, among other things, clinical trials, the privacy of personal data and commercial sales and distribution of our products, if approved.</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non-U.S. countries prior to the commencement of clinical trials or marketing of the product in those countries. Certain countries outside of the United States have a process that requires the submission of a clinical trial application much like an IND prior to the commencement of human clinical trials. In Europe, for example, a clinical trial application (“CTA”), must be submitted to the competent national health authority and to independent ethics committees in each country in which a company plans to conduct clinical trials. Once the CTA is approved in accordance with a country’s requirements, clinical trials may proceed in that country. Under the EU Clinical Trials Regulation, which was adopted in April 2014 and replaced the Clinical Trials Directive, a harmonized assessment and supervision process was implemented as of January 31, 2022 for clinical trials throughout the EU, via a Clinical Trials Information System (“CTIS”). The CTIS will contain the centralized EU portal and database for clinical trials conducted in the EU and will allow for a centralized review process. This harmonized submission process became mandatory for new CTA submissions to be filed beginning on February 1, 2023. As of January 31, 2025, all clinical trials, including those initiated prior to such date, are subject to the provisions of the Clinical Trials Regulation. Under the new centralized process, if the EU member state leading the CTA review approves or rejects the application, the decision will apply to all involved member states.</w:t>
      </w:r>
    </w:p>
    <w:p>
      <w:pPr>
        <w:spacing w:after="0" w:line="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even though there is already some degree of legal harmonization in the EU member states resulting from the national implementation of underlying EU legislation. In all cases, the clinical trials are conducted in accordance with GCP and other applicable regulatory requirements.</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 obtain a marketing license for a new drug or medicinal product in the European Union, the sponsor must obtain approval of a marketing authorization application (“MAA”). The way in which a medicinal product can be approved in the European Union depends on the nature of the medicinal product.</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centralized procedure results in a single marketing authorization granted by the European Commission that is valid across the European Union, as well as in Iceland, Liechtenstein, and Norway. The centralized procedure is compulsory for human drugs that: (i) are derived from biotechnology processes, such as genetic engineering, (ii) contain a new active substance indicated for the treatment of certain diseases, such as HIV/AIDS, cancer, diabetes, neurodegenerative diseases, autoimmune and other immune dysfunctions and viral diseases, (iii) are officially designated “orphan drugs” (drugs used for rare human diseases) and (iv) are advanced-therapy medicines, such as gene-therapy, somatic cell-therapy or tissue-engineered medicines. The centralized procedure may at the request of the applicant also be used for human drugs which do not fall within the above mentioned categories if (a) the human drug contains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1" w:right="39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new active substance which was not previously authorized in the European Community; or (b) the applicant shows that the medicinal product constitutes a significant therapeutic, scientific or technical innovation or that the granting of authorization in the centralized procedure is in the interests of patients at the European Community level.</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centralized procedure in the European Union, the maximum timeframe for the evaluation of a marketing authorization application by the EMA is 210 days (excluding clock stops, when additional written or oral information is to be provided by the applicant in response to questions asked by the CHMP), with adoption of the actual marketing authorization by the European Commission thereafter. Accelerated evaluation might be granted by the CHMP in exceptional cases, when a medicinal product is expected to be of a major public health interest from the point of view of therapeutic innovation, defined by three cumulative criteria: the seriousness of the disease to be treated; the absence of an appropriate alternative therapeutic approach, and anticipation of exceptional high therapeutic benefit. In this circumstance, EMA ensures that the evaluation for the opinion of the CHMP is completed within 150 days (excluding clock stops) and the opinion issued thereafter.</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are also two other possible routes to authorize medicinal products in several EU countries, which are available for investigational medicinal products for which the centralized procedure is not obligatory: the decentralized procedure and the mutual recognition procedure (“MRP”). Using the decentralized procedure, an applicant may apply for simultaneous authorization in more than one EU country of a medicinal product that has not yet been authorized in any EU country and that does not fall within the mandatory scope of the centralized procedure.</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MRP for the approval of human drugs is an alternative approach to facilitate individual national marketing authorizations within the European Union. Basically, the MRP may be applied for all human drugs for which the centralized procedure is not obligatory. The MRP is applicable to the majority of conventional medicinal products and is based on the principle of recognition of an already existing national marketing authorization by one or more member states. In the MRP, a marketing authorization for a drug already exists in one or more member states of the European Union and subsequently marketing authorization applications are made in other European Union member states by referring to the initial marketing authorization. The member state in which the marketing authorization was first granted will then act as the reference member state. The member states where the marketing authorization is subsequently applied for act as concerned member states. After a product assessment is completed by the reference member state, copies of the report are sent to all member states, together with the approved summary of product characteristics, labeling and package leaflet. The concerned member states then have 90 days to recognize the decision of the reference member state and the summary of product characteristics, labeling and package leaflet. National marketing authorizations within individual member states shall be granted within 30 days after acknowledgement of the agreement.</w:t>
      </w:r>
    </w:p>
    <w:p>
      <w:pPr>
        <w:spacing w:after="0" w:line="8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Should any member state refuse to recognize the marketing authorization by the reference member state, on the grounds of potential serious risk to public health, the issue will be referred to a coordination group. Within a timeframe of 60 days, member states shall, within the coordination group, make all efforts to reach a consensus. If this fails, the procedure is submitted to an EMA scientific committee for arbitration. The opinion of this EMA committee is then forwarded to the Commission, for the start of the decision-making process. As in the centralized procedure, this process entails consulting various European Commission Directorates General and the Standing Committee on Human Medicinal Products or Veterinary Medicinal Products, as appropriate.</w:t>
      </w:r>
    </w:p>
    <w:p>
      <w:pPr>
        <w:spacing w:after="0" w:line="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April 2023, the European Commission issued a proposal to revise and replace the existing general pharmaceutical legislation. As of December 2025, the three European Union institutions, the European Commission, the European Parliament and the Council of the European Union are in the process of negotiating the final content of the new Directive and Regulation. Once negotiations are complete, the European Parliament and the Council of the EU will vote on whether to approve the Directive and Regulation. If adopted and implemented as currently proposed, these revisions will significantly change several aspects of drug development and approval in the European Union.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Regulation of IVD Products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May 2022, the In Vitro Diagnostic Device Regulation (“IVDR”) (EU) 2017/746 became effective, replacing the previous IVD Directive (EU-Directive 98/79/EC). The IVDR was published in May 2017 and given a five-year transition period until its full implementation on May 26, 2022. Unlike the IVD Directive (EU-Directive 98/79/EC), the IVDR has binding legal force throughout every Member State. The major goals of the IVDR are to standardize diagnostic procedures within the EU, increase reliability of diagnostic analysis and enhance patient safety. Among other things, the IVDR introduces a new risk-based classification system for IVDs and requirements for IVD conformity assessments. Under the IVDR and subsequent amendments, IVDs already certified by a Notified Body under the IVD Directive may remain on the market until December 31, 2027, and IVDs certified without the involvement of a Notified Body may remain on the market for up to two additional years (until December 31, 2029) depending on the classification of the IVD. The manufacturers of such devices remaining on the market must comply with specific requirements in the IVDR, but ultimately, such products, as with all new IVDs, will have to undergo the IVDR’s conformity assessment procedures.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spacing w:after="0" w:line="282" w:lineRule="auto"/>
        <w:rPr>
          <w:sz w:val="20"/>
          <w:szCs w:val="20"/>
          <w:color w:val="auto"/>
        </w:rPr>
      </w:pPr>
      <w:r>
        <w:rPr>
          <w:rFonts w:ascii="Times New Roman" w:cs="Times New Roman" w:eastAsia="Times New Roman" w:hAnsi="Times New Roman"/>
          <w:sz w:val="18"/>
          <w:szCs w:val="18"/>
          <w:color w:val="auto"/>
        </w:rPr>
        <w:t>addition, IVDs in the highest risk class will have to be tested by a Designated Reference Laboratory. The IVDR imposes additional requirements relating to post-market surveillance and submission of post-market performance follow-up reports.</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EC has designated more than a dozen Notified Bodies to perform conformity assessments under the IVDR. MedTech Europe has issued guidance relating to the IVDR in several areas, e.g., clinical benefit, technical documentation, state of art, accessories, and EUDAMED.</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Most recently, on December 6, 2025, the European Commission released a proposal to amend the IVDR with the goal of simplifying the applicable rules, reducing the administrative burden on manufacturers, and enhancing the predictability and cost-effectiveness of the certification procedure while maintaining a high level of public health protections for EU patients and consumers. However, it is currently unknown whether such amendments to the IVDR will be enacted, or even if they become effective, whether they will have a significant impact on manufacturers distributing IVDs in the European Union.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Pharmaceutical Products in the United Kingdom</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January 1, 2021, European Union law no longer directly applies in the United Kingdom. The United Kingdom has adopted existing European Union medicines regulation as standalone United Kingdom legislation with some amendments to reflect procedural and other requirements with respect to marketing authorizations and other regulatory provisions.</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Medicines and Healthcare products Regulatory Agency, or MHRA, is responsible for regulating medicinal products in the United Kingdom (Great Britain and Northern Ireland). An MHRA authorization must be obtained for each medicine to be marketed in the regions that comprise the United Kingdom. On January 1, 2021, all existing European Union marketing authorizations were converted to United Kingdom marketing authorizations subject to a manufacturer opt-out. Since then, the United Kingdom has introduced separate, specific processes for regulatory submissions and medicinal product marketing authorization.</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Windsor Framework, which was negotiated between the United Kingdom and the European Commission and became effective as of January 1, 2025, requires changes to the regulatory system that was previously in effect under the Northern Ireland Protocol, including the regulation of drug products in the United Kingdom. Specifically, the MHRA will be responsible for approving all medicines intended to be marketed in the United Kingdom (including Northern Ireland), while the EMA will no longer be involved in approving medicines intended for sale in Northern Ireland.</w:t>
      </w:r>
    </w:p>
    <w:p>
      <w:pPr>
        <w:spacing w:after="0" w:line="7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It is expected that the establishment of a separate United Kingdom authorization system, albeit with transitional recognition procedures in the United Kingdom, will lead to additional regulatory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World Government Regulation</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requirements governing the conduct of clinical trials, product licensing, pricing and reimbursement vary from country to country. In all cases, the clinical trials must be conducted in accordance with GCP and the other applicable regulatory requirements.</w:t>
      </w:r>
    </w:p>
    <w:p>
      <w:pPr>
        <w:ind w:right="680"/>
        <w:spacing w:after="0" w:line="260"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Although we currently do not have any products on the market, if our product candidates are approved in the United States, we will have to comply with various U.S. federal and state laws, rules and regulations pertaining to healthcare fraud and abuse, including anti-kickback laws and physician self-referral laws, rules and regulations. Violations of the fraud and abuse laws are punishable by criminal and civil sanctions, including, in some instances, exclusion from participation in federal and state healthcare programs, including Medicare and Medicaid. These laws include the following:</w:t>
      </w:r>
    </w:p>
    <w:p>
      <w:pPr>
        <w:spacing w:after="0" w:line="72" w:lineRule="exact"/>
        <w:rPr>
          <w:sz w:val="20"/>
          <w:szCs w:val="20"/>
          <w:color w:val="auto"/>
        </w:rPr>
      </w:pPr>
    </w:p>
    <w:p>
      <w:pPr>
        <w:ind w:left="1020" w:right="1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imposes criminal and civil liability for executing a scheme to defraud any healthcare benefit program or making false statements relating to healthcare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ind w:left="1020" w:right="58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(“HITECH”) Act and its implementing regulations, also imposes obligations, including mandatory contractual terms,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Physician Payments Sunshine Act require manufacturers of FDA-approved drugs, devices, biologics and medical supplies covered by Medicare, Medicaid or the Children’s Health Insurance Program to report, on an annual basis, to the Centers for Medicare and Medicaid Services (“CMS”) information related to payments and other transfers of value to physicians, teaching hospitals, and certain advanced non-physician healthcare practitioners and physician ownership and investment interests; and</w:t>
      </w:r>
    </w:p>
    <w:p>
      <w:pPr>
        <w:spacing w:after="0" w:line="71"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Some state laws require pharmaceutical or medical device companies to comply with the relevant industry’s voluntary compliance guidelines and the relevant compliance guidance promulgated by the federal government in addition to requiring drug manufacturers to report information related to payments to physicians and other healthcare providers or marketing expenditures.</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State and foreign laws also govern the privacy and security of health information in some circumstances, many of which differ from each other in significant ways and often are not preempted by HIPAA, thus complicating compliance efforts. We also are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products approved by the FDA and other government authorities. Sales of our products, when and if approved for marketing in the United States, will depend, in part, on the extent to which our products will be covered by third-party payors, such as federal, state, and foreign government healthcare programs, commercial insurance and managed healthcare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 In addition, these third-party payors are increasingly reducing reimbursements for medical products, drugs and services. Furthermore,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Limited third-party reimbursement for our product candidates or a decision by a third-party payor not to cover our product candidates could reduce physician usage of our products once approved and have a material adverse effect on our sales, results of operations and financial condition.</w:t>
      </w:r>
    </w:p>
    <w:p>
      <w:pPr>
        <w:spacing w:after="0" w:line="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Europe and other countries outside of the United States, pricing and reimbursement schemes vary widely from country to country. Some countries provide that drug products may be marketed only after a reimbursement price has been agreed to. Some countries may require the completion of additional studies that compare the cost-effectiveness of a particular product candidate to currently available therapies.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and therapeutic candidates, restrict or regulate post-approval activities, and affect the ability to profitably sell product and therapeutic candidates that obtain marketing approval. The FDA’s and other regulatory authorities’ policies may change and additional government regulations may be enacted that could prevent, limit or delay regulatory approval of our product and therapeutic candidates. In addition, future legislative and regulatory proposals may materially impact the ability of the FDA and other regulatory agencies to operate as they have historically operated. We cannot be sure whether additional legislative changes will be enacted, or whether any of the FDA’s regulations, guidance or interpretations will be changed, or what the impact of such changes on the agency and its scientific review staff, if any, may be. For example, negotiations on the next FDA user fee reauthorization package began in mid-2025, and the resulting agreement is expected to be sent to Congress in early 2027 for purposes of initiating the legislative process. Reauthorization of the prescription drug user fee program must be finalized by Congress by the end of September 2027 in order to avoid a disruption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40"/>
        <w:spacing w:after="0" w:line="258" w:lineRule="auto"/>
        <w:rPr>
          <w:sz w:val="20"/>
          <w:szCs w:val="20"/>
          <w:color w:val="auto"/>
        </w:rPr>
      </w:pPr>
      <w:r>
        <w:rPr>
          <w:rFonts w:ascii="Times New Roman" w:cs="Times New Roman" w:eastAsia="Times New Roman" w:hAnsi="Times New Roman"/>
          <w:sz w:val="18"/>
          <w:szCs w:val="18"/>
          <w:color w:val="auto"/>
        </w:rPr>
        <w:t>FDA’s review goals for NDAs and other activities supported by user fees assessed against industry.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 Moreover, among policy makers and payors in the United States and elsewhere, there is significant interest in promoting changes in healthcare systems with the stated goals of containing healthcare costs, improving quality and/or expanding access.</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as amended by the Health Care and Education Reconciliation Act (collectively, the “ACA”), was enacted in March 2010 and has had a significant impact on the healthcare industry in the United States. The ACA expanded coverage for the uninsured while at the same time containing overall healthcare costs. With regard to biopharmaceutical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such manufacturers under the rebate program and extended the program to individuals enrolled in Medicaid managed care organizations; established annual fees on manufacturers of certain branded prescription drugs; and created a new Medicare Part D coverage gap discount program. We expect that future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Additionally, on December 20, 2019, the Further Consolidated Appropriations Act for 2020 was signed into law (P.L. 116-94) and includes a piece of bipartisan legislation called the Creating and Restoring Equal Access to Equivalent Samples Act of 2019 (“CREATES Act”). The CREATES Act was enacted to address the concern articulated by both the FDA and others in the industry that some brand manufacturers had improperly restricted the distribution of their products, including by invoking the existence of a REMS for certain products, to deny generic product developers access to samples of brand products. Because generic product developers need samples of an RLD to conduct certain comparative testing required by the FDA, some have attributed the inability to timely obtain samples as a cause of delay in the entry of generic products. To remedy this concern, the CREATES Act establishes a private cause of action that permits a generic product developer to sue the brand manufacturer to compel it to furnish the necessary samples on “commercially reasonable, market-based terms.”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maximum amount that a manufacturer may charge a 340B covered entity for a given product is the average manufacturer price, or AMP, reduced by the rebate amount paid by the manufacturer to Medicaid for each unit of that product.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2021 Consolidated Appropriations Act signed into law on December 27, 2020 incorporated extensive healthcare provisions and amendments to existing laws, including a requirement that all manufacturers of drug products covered under Medicare Part B report the product’s average sales price to CMS beginning on January 1, 2022, subject to enforcement via civil money penalties. The U.S. Department of Health and Human Services (“DHHS”) has also solicited feedback on various measures intended to lower drug prices and reduce the out-of-pocket costs of drugs and has implemented others under its existing authority.</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August 2022, President Biden signed into the law the Inflation Reduction Act of 2022 (“IRA”). The IRA has multiple provisions that may impact the prices of drug products that are both sold into the Medicare program and throughout the United States. For example, a manufacturer of a drug or biological product covered by Medicare Parts B or D must pay a rebate to the federal government if the drug product’s price increases faster than the rate of inflation. This calculation is made on a product-by-product basis and the amount of the rebate owed to the federal government is directly dependent on the volume of a drug product that is paid for by Medicare Parts B or D. Additionally,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announcing the first round of negotiated prices for the first 10 drug products in August 2024, which will become applicable for payment year 2026. The second round of negotiated prices for 15 drug products was announced in November 2025.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currently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20"/>
        <w:spacing w:after="0" w:line="261" w:lineRule="auto"/>
        <w:rPr>
          <w:sz w:val="20"/>
          <w:szCs w:val="20"/>
          <w:color w:val="auto"/>
        </w:rPr>
      </w:pPr>
      <w:r>
        <w:rPr>
          <w:rFonts w:ascii="Times New Roman" w:cs="Times New Roman" w:eastAsia="Times New Roman" w:hAnsi="Times New Roman"/>
          <w:sz w:val="18"/>
          <w:szCs w:val="18"/>
          <w:color w:val="auto"/>
        </w:rPr>
        <w:t>On May 12, 2025, an executive order was issued by the Trump Administration to implement a most favored nation ("MFN") drug pricing policy that would tie U.S. drug prices to the prices paid for drugs in other countries. The Trump Administration has continued to exert pressure on drug manufacturers to implement MFN pricing, including by suggesting that the administration may impose significant tariffs on pharmaceuticals if such manufacturers do not reach agreements to implement MFN pricing.</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in recent years, several states have formed prescription drug affordability boards (“PDABs”). Much like the IRA’s drug price negotiation program, these PDABs have attempted to implement upper payment limits (“UPLs”) on drugs sold in their respective states in both public and commercial health plans. In August 2023, Colorado’s PDAB announced a list of five prescription drugs that would undergo an affordability review. The effects of these efforts remain uncertain pending the outcomes of several federal lawsuits challenging state authority to regulate prescription drug payment limits. In December 2020, the U.S. Supreme Court held unanimously that federal law does not preempt the states’ ability to regulate pharmaceutical benefit managers (“PBMs”) and other members of the healthcare and pharmaceutical supply chain, an important decision that may lead to further and more aggressive efforts by states in this area. The Federal Trade Commission (“FTC”)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pharmaceutical product developers like us.</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 including any future drug products for which we secure marketing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Requirements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and our third-party manufacturers must comply with applicable cGMP requirements. The cGMP requirements include requirements relating to, among other things,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to the satisfaction of the FDA pursuant to a pre-approval inspection before we can use them to manufacture commercial products. We and our third-party manufacturers are also subject to periodic announced or for-cause unannounced inspections of facilities by the FDA and other authorities, including procedures and operations used in the testing and manufacture of our commercial products, if any, to assess our compliance with applicable regulations. Failure to comply with statutory and regulatory requirements subjects a manufacturer to possible legal or regulatory action, including, among other things, warning or other enforcement letters, voluntary corrective action, the seizure of products, injunctions, consent decrees placing significant restrictions on or suspending manufacturing operations, disgorgement of profits, and other civil and criminal penalties.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also subject to various laws and regulations regarding laboratory practices, the experimental use of animals, and the use and disposal of hazardous or potentially hazardous substances in connection with our research. In each of these areas, as above, the FDA has broad regulatory and enforcement authority, including, among other things, the ability to levy fines and civil penalties, suspend or delay issuance of approvals, seize or recall products, and withdraw approvals, any one or more of which could have an adverse effect on our ability to operate our business and generate revenues. Compliance with applicable environmental laws and regulations is expensive, and current or future environmental regulations may impair our research, development and production efforts, which could negatively impact our business, operating results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2025, we employed 317 employees, all of whom were full-time employees. A significant number of our management and employees have had prior experience with pharmaceutical, biotechnology or medical product companies. None of our employees are represented by a labor union or covered under a collective bargaining agreement. Management considers relations with our employees to be good. Our approach to attracting, engaging, and aligning our talent is driven by our values statement; making an impact through innovation, inclusion, and inspiration. These values are core to who we are as an organization and what drives us to reimagine possible for science, for medicine, and for human health.</w:t>
      </w:r>
    </w:p>
    <w:p>
      <w:pPr>
        <w:spacing w:after="0" w:line="7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u w:val="single" w:color="auto"/>
          <w:color w:val="auto"/>
        </w:rPr>
        <w:t>Our Workforce Strategy:</w:t>
      </w:r>
      <w:r>
        <w:rPr>
          <w:rFonts w:ascii="Times New Roman" w:cs="Times New Roman" w:eastAsia="Times New Roman" w:hAnsi="Times New Roman"/>
          <w:sz w:val="18"/>
          <w:szCs w:val="18"/>
          <w:color w:val="auto"/>
        </w:rPr>
        <w:t xml:space="preserve"> Critical to fulfilling our mission is our ability to build and retain an exceptionally skilled, highly innovative team that shares a purposeful connection with the communities we serve and in which each member plays a unique and important role. We understand that to do this, we must remain an employer of choice for top talent and continuously find novel ways to maintain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18"/>
          <w:szCs w:val="18"/>
          <w:color w:val="auto"/>
        </w:rPr>
        <w:t>culture that emphasizes respect, inclusion, collaboration, and continuous development. We regularly conduct surveys as a means of gaining employee insights, and we use the data to inform workforce engagement initiatives aligned with our strategy and culture. Additionally, we invest in regular leadership and management development programming designed to strengthen coaching and communication capabilities and, by extension, each manager’s ability to build, engage, and develop high-performing teams at every level of the organization. To support our ability to recruit top talent in a competitive hiring environment, we offer a differentiated total rewards package that includes base salary, cash bonuses aligned to company and individual achievement, compelling benefits, and equity compensation for all employees. We believe that providing employees with an ownership interest in Wave reinforces a shared commitment to our long-term success and value creation. We were previously recognized by the Boston Business Journal and won the distinction of being one of the 2024 “Best Places to Work”, which underscores our employees’ recognition of our collective focus, resilience, and commitment to our mission of unlocking the broad potential of RNA medicines to transform human health. This commitment is company-wide, and our Board of Directors remains actively involved in overseeing human capital strategy, providing input on key decisions related to succession planning, compensation, and the continued development of our workforce.</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231F20"/>
        </w:rPr>
        <w:t>Environmental Health and Safety</w:t>
      </w:r>
      <w:r>
        <w:rPr>
          <w:rFonts w:ascii="Times New Roman" w:cs="Times New Roman" w:eastAsia="Times New Roman" w:hAnsi="Times New Roman"/>
          <w:sz w:val="18"/>
          <w:szCs w:val="18"/>
          <w:color w:val="231F20"/>
        </w:rPr>
        <w:t>: Compliance with environmental, health and safety (“EH&amp;S”) laws and regulations forms the basis of the EH&amp;S policy and programs we have in place, which include occupational health and safety measures that apply to all of our employees, contractors and visitors. These programs detail the proactive, risk-based approach that we take to prevent workplace injuries and protect the health and safety of our employees and the communities around us. In addition, we engage independent third parties to evaluate and audit our compliance with EH&amp;S laws and regulations. We foster a culture that strives to embed safety into all aspects of our operations, which includes implementing design safeguards for our employees and patients. Our EH&amp;S management system engages all levels of the organization to monitor and track the effectiveness of our programs, ensure EH&amp;S compliance, respond to incidents and manage corrective actions to reinforce safeguards. Our training programs provide training to our employees that is commensurate with their level of risk exposure and are designed to ensure that employees have the knowledge and equipment available to mitigate risk. Employees are also required to report any incidents, no matter how small, and are encouraged to voice any health or safety concerns to management or a member of our EH&amp;S team.</w:t>
      </w:r>
    </w:p>
    <w:p>
      <w:pPr>
        <w:spacing w:after="0" w:line="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u w:val="single" w:color="auto"/>
          <w:color w:val="auto"/>
        </w:rPr>
        <w:t>Advocacy and Community Engagement:</w:t>
      </w:r>
      <w:r>
        <w:rPr>
          <w:rFonts w:ascii="Times New Roman" w:cs="Times New Roman" w:eastAsia="Times New Roman" w:hAnsi="Times New Roman"/>
          <w:sz w:val="18"/>
          <w:szCs w:val="18"/>
          <w:color w:val="auto"/>
        </w:rPr>
        <w:t xml:space="preserve"> Our community engagement activities are focused on seeking to better understand the lived experience of people impacted by rare and prevalent diseases and identifying opportunities to support these communities. We believe that listening to, learning from, and partnering with individuals impacted by the diseases we are aiming to address, including families and caregivers, connects us more deeply to our mission and enhances our ability to discover and develop meaningful therapies. Through collaboration with patient communities and advocacy organizations, including participation in community- focused conferences and events, we aim to incorporate community voices and perspectives into every aspect of our work. Insights from the community inform the design and execution of our clinical trials, shape our corporate culture, and drive activities and initiatives that are intended to make a positive impact on people’s lives. Employee volunteering is another important component of our community engagement initiatives. By participating in a broad range of volunteer activities, our employees donate time and resources to support individuals and families in our community and beyond.</w:t>
      </w:r>
    </w:p>
    <w:p>
      <w:pPr>
        <w:spacing w:after="0" w:line="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an innovative organization focused on ongoing improvement, we will continue to evolve and strengthen our strategies relating to talent while furthering our investment in our employees, culture, community partnerships and outreach, and other measures to engage and align our talent with our purpose</w:t>
      </w:r>
      <w:r>
        <w:rPr>
          <w:rFonts w:ascii="Times New Roman" w:cs="Times New Roman" w:eastAsia="Times New Roman" w:hAnsi="Times New Roman"/>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were incorporated under the name Wave Life Sciences Pte. Ltd. (Registration No.: 201218209G) under the laws of Singapore on July 23, 2012. On November 16, 2015, we closed our initial public offering. In preparation for our initial public offering, on November 5, 2015, Wave Life Sciences Pte. Ltd. converted from a private limited company to a public limited company known as Wave Life Sciences Ltd. (“Wave”). Wave has four wholly-owned subsidiaries: Wave Life Sciences USA, Inc. (“Wave USA”), a Delaware corporation (formerly Ontorii, Inc.); Wave Life Sciences Japan, Inc. (“Wave Japan”), a company organized under the laws of Japan (formerly Chiralgen., Ltd.); Wave Life Sciences Ireland Limited (“Wave Ireland”), a company organized under the laws of Ireland; and Wave Life Sciences UK Limited (“Wave UK”), a company organized under the laws of the United Kingdom.</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registered office is located at 7 Straits View #12-00, Marina One East Tower, Singapore 018936, and our telephone number at that address is +65 6236 3388. Our principal office for Wave USA is located at 733 Concord Avenue, Cambridge, MA 02138, and our telephone number at that address is +1-617-949-2900. Our registered office for Wave Japan is 2438 Miyanoura-cho, Kagoshima-shi, Kagoshima pref. 891-1394, Japan. Our registered office for Wave Ireland is One Spencer Dock, North Wall Quay, Dublin 1, D01 X9R7, Ireland. Our registered office for Wave UK is 1 Chamberlain Square CS, Birmingham B3 3AX, United Kingdom.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Internet website address is http://www.wavelifesciences.com. The information contained on, or that can be accessed through, our website is not a part of, or incorporated by reference in, this Annual Report on Form 10-K or our other filings with the SEC. We have included our website address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“Investors – SEC Filings” section of our website as soon as reasonably practicable after we electronically file such reports with, or furnish such reports to, the SEC. We also make available, free of charge on our website, the reports filed with the SEC by our executive officers, directors and 10% shareholders pursuant to Section 16 under the Exchange Act as soon as reasonably practicable after copies of those filings are filed with the SEC. You can review our electronically filed reports and other information that we file with the SEC on the SEC’s website at http://www.sec.gov.</w:t>
      </w:r>
    </w:p>
    <w:p>
      <w:pPr>
        <w:spacing w:after="0" w:line="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we regularly use our website to post information regarding our business and governance, and we encourage investors to use our website, particularly the information in the section entitled “Investors,” as a source of 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Annual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Annual Report on Form 10-K occurs, our business, operating results and financial condition could be seriously harmed and the trading price of our ordinary shares could decline.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and Capital Requirements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biotechnology company with a history of losses, and we expect to continue to incur losses for the foreseeable future, and we may never achieve or maintain profitability.</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and have incurred significant operating losses since our incorporation in 2012. Our net loss was $204.4 million, $97.0 million, and $57.5 million for the fiscal years ended December 31, 2025, 2024, and 2023, respectively. As of December 31, 2025, and 2024 we had an accumulated deficit of $1,326.2 million and $1,121.9 million, respectively. To date, we have not generated any product revenue. Substantially all of our losses have resulted from expenses incurred in connection with our research and development programs and from general and administrative costs associated with our operations.</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 clinical-stage biotechnology company focused on unlocking the broad potential of ribonucleic acid (“RNA”) medicines (also known as oligonucleotides), or those targeting RNA, to transform human health. Our RNA medicines platform, PRISM®, combines multiple modalities, chemistry innovation and deep insights into human genetics to deliver scientific breakthroughs that treat both rare and common disorders. Our toolkit of RNA-targeting modalities, including RNAi silencing (SpiNA) and RNA editing (AIMers), provides us with unmatched capabilities for designing and sustainably delivering candidates that optimally address disease biology. Our pipeline is focused on our obesity, alpha-1 antitrypsin deficiency (“AATD”) and PNPLA3 I148M liver disease programs, and also includes clinical programs for Duchenne muscular dystrophy (“DMD”) and Huntington’s disease (“HD”), as well as several preclinical programs utilizing our versatile RNA medicines platform. We have not generated, and do not expect to generate, any product revenue for the foreseeable future, and we expect to continue to incur significant operating losses for the foreseeable future due to the cost of research and development, manufacturing, preclinical studies and clinical trials and the regulatory review process for product candidates. The amount of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our shareholders to lose all or part of their investment.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on acceptable terms, or at all.</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used substantial funds to develop our programs and PRISM, our proprietary discovery and drug development platform, and will require substantial funds to conduct further research and development, including preclinical studies and clinical trials of our product candidates, seek regulatory approvals for our product candidates and manufacture and market any products that are approved for commercial sale. We believe that our existing cash and cash equivalents will be sufficient to fund our operations for at least the next 12 months.</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future capital requirements and the period for which we expect our existing resources to support our operations may vary significantly from what we expect. We do not expect to realize any appreciable revenue from product sales or royalties in the foreseeable future, if at all. Our revenue sources will remain extremely limited unless and until our product candidates complete clinical development and are approved for commercialization and successfully marketed.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 the following:</w:t>
      </w:r>
    </w:p>
    <w:p>
      <w:pPr>
        <w:spacing w:after="0" w:line="117"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monthly spending levels, based on new and ongoing development and corporate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and clinical development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ind w:left="760" w:right="54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 arrangements, and whether our collaboration partners decide to exercise option rights in connection with targets and development programs;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 candidates;</w:t>
      </w:r>
    </w:p>
    <w:p>
      <w:pPr>
        <w:spacing w:after="0" w:line="11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any local or global health epidemics, geopolitical conflicts, global economic uncertainty, tariffs, rising inflation, rising interest rates or market disruptions on our business;</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and other development targets that trigger payments under our agreements with our key collaboration partners, or any other strategic collaborations into which we may enter;</w:t>
      </w:r>
    </w:p>
    <w:p>
      <w:pPr>
        <w:spacing w:after="0" w:line="53"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 to the extent any are approved for commercial sale, and the revenue, if any, received from commercial sales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internally or with third parties for drug supply.</w:t>
      </w:r>
    </w:p>
    <w:p>
      <w:pPr>
        <w:spacing w:after="0" w:line="117"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To date, we have primarily financed our operations through sales of our securities and our collaborations with third parties. Through December 31, 2025, we have received an aggregate of approximately $2,076.7 million in net proceeds from these transactions, consisting of $1,450.5 million in net proceeds from public and other registered offerings of our ordinary shares, $536.9 million from our collaborations, exclusive of any potential future milestone and royalty payments, and $89.3 million in net proceeds from private placements of our debt and equity securities.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12, 2024, we filed an automatic shelf registration statement on Form S-3ASR with the SEC for which we registered for sale an indeterminate amount of any combination of our ordinary shares, debt securities, warrants, rights and/or units from time to time and at prices and on terms that we may determine, which we refer to as the “2024 WKSI Shelf”. Our 2024 WKSI Shelf includes a prospectus covering up to an aggregate of $250.0 million in ordinary shares that we are able to issue and sell from time to time, through Jefferies LLC (“Jefferies”) acting as our sales agent, pursuant to the Open Market Sale Agreement, dated May 10, 2019, as amended by Amendment No. 1, dated as of March 2, 2020, Amendment No. 2, dated as of March 3, 2022, and Amendment No. 3, dated as of November 12, 2024 (collectively, the “Sales Agreement”), for our “at-the-market” equity program.</w:t>
      </w:r>
    </w:p>
    <w:p>
      <w:pPr>
        <w:spacing w:after="0" w:line="7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Our ability to raise additional funds will depend on financial, economic and other factors, many of which are beyond our control. We may seek access to the capital and credit markets for working capital, capital expenditure, and other business initiatives. The capital and credit markets have experienced extreme volatility and disruption, which may lead to uncertainty and liquidity issues for both borrowers and investors. In the event of adverse market conditions, or other factors, additional funds may not be available to us on acceptable terms or at all. For example, the global economy has been experiencing volatility in interest rates and inflation, which could negatively impact our business and our ability to raise additional funds. If we raise additional funds by issuing equity or convertible debt securities, our shareholders will suffer dilution and the terms of any financing may adversely affect the rights of our shareholders. In addition, as a condition to providing additional funds to us, future investors may demand, and may be granted, rights superior to those of existing shareholders. Debt financing, if available, may involve restrictive covenants limiting our flexibility in conducting future business activities, and, in the event of insolvency, debt holders would be repaid before holders of equity securities receive any distribution of corporate assets.</w:t>
      </w:r>
    </w:p>
    <w:p>
      <w:pPr>
        <w:spacing w:after="0" w:line="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have to delay, limit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impacted by macroeconomic conditions, including fears concerning the financial services industry, inflation, volatility in interest rates and volatile market conditions, and other uncertainties beyond our control.</w:t>
      </w:r>
    </w:p>
    <w:p>
      <w:pPr>
        <w:spacing w:after="0" w:line="15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Our ability to effectively run our business could be adversely affected by general conditions in the global economy and in the financial services industry. Various macroeconomic factors could adversely affect our business, including fears concerning the banking sector, rising inflation, and interest rates and overall changes in economic conditions and uncertainties. A severe or prolonged economic downturn could result in a variety of risks, including our ability to raise additional funding on a timely basis or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20"/>
        <w:spacing w:after="0" w:line="256" w:lineRule="auto"/>
        <w:rPr>
          <w:sz w:val="20"/>
          <w:szCs w:val="20"/>
          <w:color w:val="auto"/>
        </w:rPr>
      </w:pPr>
      <w:r>
        <w:rPr>
          <w:rFonts w:ascii="Times New Roman" w:cs="Times New Roman" w:eastAsia="Times New Roman" w:hAnsi="Times New Roman"/>
          <w:sz w:val="18"/>
          <w:szCs w:val="18"/>
          <w:color w:val="auto"/>
        </w:rPr>
        <w:t>acceptable terms. A weak or declining economy could also impact third parties upon whom we depend to run our business. Concerns over bank failures and bailouts and their potential broader effects and potential systemic risk on the banking sector generally and on the biotechnology industry and its participants may adversely 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has broad discretion over the use of proceeds received from sales of our securities and our collaborations with third parties and the proceeds may not be used effectively.</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management has broad discretion as to the use of proceeds we receive from conducting sales of our securities and our collaborations with third parties and could use the proceeds for purposes other than those contemplated at the time of such transactions. It is also possible that the proceeds we have received, or may receive, from securities sales and collaborations will be invested in a way that does not yield a favorable, or any, return for us.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history as a clinical-stage biotechnology company may make it difficult for shareholders to evaluate the success of our business to date and to assess our future viability.</w:t>
      </w:r>
    </w:p>
    <w:p>
      <w:pPr>
        <w:spacing w:after="0" w:line="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focused on unlocking the broad potential of RNA medicines to transform human health. Our pipeline is focused on our obesity, AATD and PNPLA3 I148M liver disease programs, and also includes clinical programs for DMD and HD, as well as several preclinical programs utilizing our versatile RNA medicines platform. We have not yet demonstrated our ability to successfully complete pivotal clinical trials, obtain marketing approvals, or conduct sales and marketing activities necessary for successful product commercialization. We have limited experience manufacturing our products at commercial scale or arranging for a third party to do so on our behalf. Typically, it takes many years to develop and commercialize a therapeutic from the time it is discovered to when it is available for treating patients. Further, drug development is a capital-intensive and highly speculative undertaking that involves a substantial degree of risk. You should consider our prospects in light of the costs, uncertainties, delays and difficulties frequently encountered by biotechnology companies in the early stages of clinical development, such as ours. Any predictions about our future success or viability may not be as accurate as they could be if we had a longer operating history or a history of successfully developing and commercializing pharmaceutical products.</w:t>
      </w:r>
    </w:p>
    <w:p>
      <w:pPr>
        <w:spacing w:after="0" w:line="190" w:lineRule="exact"/>
        <w:rPr>
          <w:sz w:val="20"/>
          <w:szCs w:val="20"/>
          <w:color w:val="auto"/>
        </w:rPr>
      </w:pPr>
    </w:p>
    <w:p>
      <w:pPr>
        <w:ind w:right="2280"/>
        <w:spacing w:after="0" w:line="466" w:lineRule="auto"/>
        <w:rPr>
          <w:sz w:val="20"/>
          <w:szCs w:val="20"/>
          <w:color w:val="auto"/>
        </w:rPr>
      </w:pPr>
      <w:r>
        <w:rPr>
          <w:rFonts w:ascii="Times New Roman" w:cs="Times New Roman" w:eastAsia="Times New Roman" w:hAnsi="Times New Roman"/>
          <w:sz w:val="17"/>
          <w:szCs w:val="17"/>
          <w:b w:val="1"/>
          <w:bCs w:val="1"/>
          <w:color w:val="auto"/>
        </w:rPr>
        <w:t xml:space="preserve">Risks Related to the Discovery, Manufacturing, Development and Commercialization of Our Product Candidates </w:t>
      </w:r>
      <w:r>
        <w:rPr>
          <w:rFonts w:ascii="Times New Roman" w:cs="Times New Roman" w:eastAsia="Times New Roman" w:hAnsi="Times New Roman"/>
          <w:sz w:val="17"/>
          <w:szCs w:val="17"/>
          <w:b w:val="1"/>
          <w:bCs w:val="1"/>
          <w:i w:val="1"/>
          <w:iCs w:val="1"/>
          <w:color w:val="auto"/>
        </w:rPr>
        <w:t>The approach we are taking to discover and develop RNA medicines is novel and may never lead to marketable products.</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concentrated our efforts and research and development activities on RNA medicines (also known as oligonucleotides) and enhancing PRISM, our proprietary discovery and drug development platform. PRISM enables us to target genetically defined diseases with stereopure oligonucleotides across multiple therapeutic modalities. Our future success depends on the successful development of our RNA medicines and the effectiveness of PRISM. The scientific discoveries that form the basis for our efforts to discover and develop new product candidates, including our discoveries about the relationships between oligonucleotide stereochemistry and pharmacology, are relatively new. Our PRISM platform combines multiple modalities, chemistry innovation and deep insights into human genetics to deliver scientific breakthroughs that treat both rare and prevalent disorders. The scientific evidence to support the feasibility of developing medicines based on our discoveries is limited, as we have not yet completed successful clinical development of an oligonucleotide therapeutic.</w:t>
      </w:r>
    </w:p>
    <w:p>
      <w:pPr>
        <w:spacing w:after="0" w:line="18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oligonucleotides, which are considered a relatively new class of drugs, there is increased risk that the outcome of our clinical trials will not be sufficient to obtain regulatory approval.</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FDA and comparable ex-U.S. regulatory agencies have relatively limited experience with RNA medicines (also known as oligonucleotides), which may increase the complexity, uncertainty and length of the regulatory review process for our product candidates. The FDA has approved approximately 20 oligonucleotides for commercial use. The FDA has issued multiple guidance documents on the development and testing of oligonucleotide products, as well as guidance relating to regulatory submissions for such products, including in December 2021 two draft guidance documents relating to IND submissions for individualized antisense oligonucleotide drugs for severely debilitating or life-threatening genetic diseases, one with clinical focus, the other with chemistry manufacturing and controls focus, in June 2024 a final guidance on clinical pharmacology considerations for the development of oligonucleotide therapeutics, and in November 2024 a draft guidance on nonclinical safety assessment of oligonucleotide products. Although guidance documents issued by FDA do not have the force of law and are therefore not binding on the industry, we may decide to revise the design of our ongoing or planned nonclinical studies or clinical trials, or design new nonclinical studies or clinical trials, of our product candidates to align with the agency’s current thinking as set forth in the recently published guidance. The general lack of extensive experience specific to oligonucleotides may hinder or slow review by the FDA or other foreign homologues of any regulatory filings that we may submit. Moreover, the FDA or other foreign homologues may respond to these submissions by defining requirements we may not have anticipated. Addressing such requirements could lead to significant delays in the development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spacing w:after="0" w:line="258" w:lineRule="auto"/>
        <w:rPr>
          <w:sz w:val="20"/>
          <w:szCs w:val="20"/>
          <w:color w:val="auto"/>
        </w:rPr>
      </w:pPr>
      <w:r>
        <w:rPr>
          <w:rFonts w:ascii="Times New Roman" w:cs="Times New Roman" w:eastAsia="Times New Roman" w:hAnsi="Times New Roman"/>
          <w:sz w:val="18"/>
          <w:szCs w:val="18"/>
          <w:color w:val="auto"/>
        </w:rPr>
        <w:t>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As a result of the foregoing factors, we may never receive regulatory approval to market and commercialize any product candidate.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the approval may be for disease indications or patient populations that are not as broad as we intended or desired or may require labeling that includes significant use or distribution restrictions or safety warnings. We may be required to perform additional or unanticipated clinical trials to obtain regulatory approval or be subject to additional post-marketing studies or other requirements to maintain such approval. As a result, we may never succeed in developing a marketable product, we may not become profitable and the value of our ordinary shares could decline.</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not be successful. If we are unable to commercialize our product candidates or experience significant delays in doing so, our business may be materially harmed.</w:t>
      </w:r>
    </w:p>
    <w:p>
      <w:pPr>
        <w:spacing w:after="0" w:line="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a robust and diverse pipeline of first- or best-in-class RNA medicines. Our pipeline is focused on our obesity, AATD and PNPLA3 I148M liver disease programs, and also includes clinical programs for DMD and HD, as well as several preclinical programs utilizing our versatile RNA medicines platform.</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However, we currently have no products on the market. We have invested a significant portion of our efforts and financial resources in the identification and preclinical and clinical development of our oligonucleotides, the development of our RNA medicines platform, PRISM, including our toolkit of RNA-targeting modalities, and our novel chemistry modifications, and the continued growth of our manufacturing capabilities. Our ability to generate product revenue, which we do not expect will occur for many years, if ever, will depend heavily on the successful development, regulatory approvals, and eventual commercialization of our product candidates. Our success will depend on several factors, including the following:</w:t>
      </w:r>
    </w:p>
    <w:p>
      <w:pPr>
        <w:spacing w:after="0" w:line="75" w:lineRule="exact"/>
        <w:rPr>
          <w:sz w:val="20"/>
          <w:szCs w:val="20"/>
          <w:color w:val="auto"/>
        </w:rPr>
      </w:pPr>
    </w:p>
    <w:p>
      <w:pPr>
        <w:ind w:left="940" w:hanging="37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117" w:lineRule="exact"/>
        <w:rPr>
          <w:rFonts w:ascii="Times New Roman" w:cs="Times New Roman" w:eastAsia="Times New Roman" w:hAnsi="Times New Roman"/>
          <w:sz w:val="18"/>
          <w:szCs w:val="18"/>
          <w:color w:val="auto"/>
        </w:rPr>
      </w:pPr>
    </w:p>
    <w:p>
      <w:pPr>
        <w:ind w:left="940" w:hanging="37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conducting process development and manufacturing campaigns in accordance with cGMP;</w:t>
      </w:r>
    </w:p>
    <w:p>
      <w:pPr>
        <w:spacing w:after="0" w:line="117" w:lineRule="exact"/>
        <w:rPr>
          <w:rFonts w:ascii="Times New Roman" w:cs="Times New Roman" w:eastAsia="Times New Roman" w:hAnsi="Times New Roman"/>
          <w:sz w:val="18"/>
          <w:szCs w:val="18"/>
          <w:color w:val="auto"/>
        </w:rPr>
      </w:pPr>
    </w:p>
    <w:p>
      <w:pPr>
        <w:ind w:left="940" w:right="500" w:hanging="378"/>
        <w:spacing w:after="0" w:line="282"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regulatory approvals from applicable regulatory authorities to market our product candidates and, to the extent necessary, our companion diagnostic tests;</w:t>
      </w:r>
    </w:p>
    <w:p>
      <w:pPr>
        <w:spacing w:after="0" w:line="53" w:lineRule="exact"/>
        <w:rPr>
          <w:rFonts w:ascii="Times New Roman" w:cs="Times New Roman" w:eastAsia="Times New Roman" w:hAnsi="Times New Roman"/>
          <w:sz w:val="18"/>
          <w:szCs w:val="18"/>
          <w:color w:val="auto"/>
        </w:rPr>
      </w:pPr>
    </w:p>
    <w:p>
      <w:pPr>
        <w:ind w:left="940" w:hanging="37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 party CMOs;</w:t>
      </w:r>
    </w:p>
    <w:p>
      <w:pPr>
        <w:spacing w:after="0" w:line="117" w:lineRule="exact"/>
        <w:rPr>
          <w:rFonts w:ascii="Times New Roman" w:cs="Times New Roman" w:eastAsia="Times New Roman" w:hAnsi="Times New Roman"/>
          <w:sz w:val="18"/>
          <w:szCs w:val="18"/>
          <w:color w:val="auto"/>
        </w:rPr>
      </w:pPr>
    </w:p>
    <w:p>
      <w:pPr>
        <w:ind w:left="940" w:hanging="37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940" w:hanging="37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we are successful in our current collaborations, and any additional collaborations we may establish;</w:t>
      </w:r>
    </w:p>
    <w:p>
      <w:pPr>
        <w:spacing w:after="0" w:line="117" w:lineRule="exact"/>
        <w:rPr>
          <w:rFonts w:ascii="Times New Roman" w:cs="Times New Roman" w:eastAsia="Times New Roman" w:hAnsi="Times New Roman"/>
          <w:sz w:val="18"/>
          <w:szCs w:val="18"/>
          <w:color w:val="auto"/>
        </w:rPr>
      </w:pPr>
    </w:p>
    <w:p>
      <w:pPr>
        <w:ind w:left="940" w:hanging="37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940" w:hanging="37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40" w:hanging="37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940" w:hanging="37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maintain an acceptable safety and efficacy profile of the products following regulatory approval; and</w:t>
      </w:r>
    </w:p>
    <w:p>
      <w:pPr>
        <w:spacing w:after="0" w:line="117" w:lineRule="exact"/>
        <w:rPr>
          <w:rFonts w:ascii="Times New Roman" w:cs="Times New Roman" w:eastAsia="Times New Roman" w:hAnsi="Times New Roman"/>
          <w:sz w:val="18"/>
          <w:szCs w:val="18"/>
          <w:color w:val="auto"/>
        </w:rPr>
      </w:pPr>
    </w:p>
    <w:p>
      <w:pPr>
        <w:ind w:left="940" w:hanging="37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appropriately addressing the post-marketing requirements and/or commitments made upon regulatory approval.</w:t>
      </w:r>
    </w:p>
    <w:p>
      <w:pPr>
        <w:spacing w:after="0" w:line="11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conduct clinical trials successfully due to various process-related factors that could negatively impact our business plans.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successful initiation and completion of any of our clinical trials, within timeframes consistent with our business plans, is dependent on various factors, which include, but are not limited to, our ability to:</w:t>
      </w:r>
    </w:p>
    <w:p>
      <w:pPr>
        <w:spacing w:after="0" w:line="54"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recruit employees, contractors or consultants with the required level of knowledge and experience;</w:t>
      </w:r>
    </w:p>
    <w:p>
      <w:pPr>
        <w:spacing w:after="0" w:line="117" w:lineRule="exact"/>
        <w:rPr>
          <w:rFonts w:ascii="Times New Roman" w:cs="Times New Roman" w:eastAsia="Times New Roman" w:hAnsi="Times New Roman"/>
          <w:sz w:val="18"/>
          <w:szCs w:val="18"/>
          <w:color w:val="auto"/>
        </w:rPr>
      </w:pPr>
    </w:p>
    <w:p>
      <w:pPr>
        <w:ind w:left="760" w:right="260" w:hanging="378"/>
        <w:spacing w:after="0" w:line="26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recruit in a timely manner a sufficient number of patients necessary to conduct a clinical trial, which is a function of many factors, including the proximity of participants to clinical sites, the size of the relevant population, the eligibility criteria for the trial, possible adverse effects from treatments, the existence of competing clinical trials, the involvement of patient advocacy groups, the availability of new or alternative treatments, lack of efficacy, personnel issues and ease of participation in our clinical trials;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study sites, and enroll, treat, and monitor patients due to local restrictions implemented in response to local or global health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2" w:name="page43"/>
    <w:bookmarkEnd w:id="42"/>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companion diagnostic tests for use with certain of our product candidates or identify partners with such expertise;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maintain a sufficient amount of clinical material, internally or through third parties;</w:t>
      </w:r>
    </w:p>
    <w:p>
      <w:pPr>
        <w:spacing w:after="0" w:line="117"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adherence to trial designs and protocols agreed upon and approved by regulatory authorities and applicable regulatory and legal guidelines;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the appropriate pharmacovigilance measures in case of adverse effects emerging during a clinical trial;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clinical trial designs and protocols approved by regulatory authorities without deficiencies;</w:t>
      </w:r>
    </w:p>
    <w:p>
      <w:pPr>
        <w:spacing w:after="0" w:line="117"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effectively contract with (under reasonable terms), manage and work with investigators, institutions, hospitals and contract research organizations (“CROs”) involved in the clinical trial;</w:t>
      </w:r>
    </w:p>
    <w:p>
      <w:pPr>
        <w:spacing w:after="0" w:line="5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contracts and other related documents with clinical trial parties and IRBs, CRO agreements and site agreements, which can be subject to extensive negotiations that could cause significant delays in the clinical trial process, with terms possibly varying significantly among different trial sites and CROs and possibly subjecting us to various risks; and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trials in a cost-effective manner, including management of foreign currency risk in clinical trials conducted in foreign jurisdictions and cost increases due to unforeseen or unexpected complications such as enrollment delays, or needing to outsource certain functions during the clinical trial.</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we are not able to manage the clinical trial process successfully, our business plans could be delayed or be rendered unfeasible for us to execute within our planned or required time frames, or at all.</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successfully manufacture our product candidates for our research and development and preclinical activities, or manufacture sufficient amounts of our product candidates to meet our clinical requirements and timelines, our business may be materially harmed.</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develop our product candidates, apply for regulatory approvals and commercialize our product candidates, we will need to develop, contract for, or otherwise arrange for the necessary manufacturing capabilities. In September 2016, we entered into a lease for a multi-use facility of approximately 90,000 square feet in Lexington, Massachusetts to provide internal cGMP manufacturing capabilities and increase control and visibility of our drug substance supply chain, and we began cGMP manufacturing in this facility at the beginning of 2018. This facility supplements our existing Cambridge, Massachusetts laboratory and office space headquarters, enhances our ability to secure drug substance for current and future development activities and may provide commercial-scale manufacturing capabilities. However, while we have established and continue to enhance our internal cGMP manufacturing capabilities, we have limited experience manufacturing drug substance on a commercial scale, and we will incur significant costs to develop this expertise internally.</w:t>
      </w:r>
    </w:p>
    <w:p>
      <w:pPr>
        <w:spacing w:after="0" w:line="8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addition to the oligonucleotides that we manufacture internally, we may utilize CMOs to manufacture the oligonucleotides required for our preclinical studies and clinical trials. There are a limited number of manufacturers that supply oligonucleotides. There are risks inherent in pharmaceutical manufacturing that could affect our ability or the ability of our CMOs to meet our delivery time requirements or provide adequate amounts of material to meet our clinical trial demands on our projected timelines. Included in these risks are potential synthesis and purification failures and/or contamination during the manufacturing process, as well as other issues with our facility or the CMOs’ facilities and ability to comply with the applicable manufacturing requirements and quality standards, which could result in unusable product and cause delays in our manufacturing timelines and ultimately delay our clinical trials, as well as result in additional expense to us. To manufacture our oligonucleotides, we rely on third parties to supply the required raw materials. We will likely need to secure alternative suppliers for these raw materials, and such alternative suppliers are limited and may not be readily available, or we may be unable to enter into agreements with them on reasonable terms and in a timely manner. For example, we source certain materials used in the manufacture of our products from China and other countries outside of the United States, and supply chain disruptions could impact our business. Additionally,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18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process of manufacturing oligonucleotides is complex and we may encounter difficulties in production, particularly with respect to process development or scaling-up of our manufacturing capabilities.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process of manufacturing oligonucleotides is complex, highly-regulated and subject to multiple risks. The complex processes associated with the manufacture of our product candidates expose us to various manufacturing challenges and risks, which may include delays in manufacturing adequate supply of our product candidates, limits on our ability to increase manufacturing capacity, and the potential for product failure and product variation in quality that may interfere with preclinical studies and clinical trials, along with additional costs. We also may make changes to our manufacturing process at various points during development, and even after commercialization, for various reasons, such as optimizing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current or future clinical trials,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8"/>
          <w:szCs w:val="18"/>
          <w:color w:val="auto"/>
        </w:rPr>
        <w:t xml:space="preserve">the performance of the product, once commercialized. In some circumstances, changes in the manufacturing process may require us to perform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and/or conduct animal studies, and to collect additional data from patients prior to undertaking more advanced clinical trials. For instance, changes in our process during the course of clinical development may require us to provide the FDA and comparable regulatory authorities adequate evidence of the comparability of the product used in earlier clinical trials or at earlier portions of a trial to the product used in later clinical trials or later portions of the trial. We may also make further changes to our manufacturing process before or after commercialization, and such changes may require us to show the comparability of the resulting product to the product produced via earlier manufacturing processes and supplied in clinical studies. We may be required to collect additional preclinical and/or clinical data from any modified process prior to obtaining marketing approval for the product candidate produced with such modified process. If preclinical and/or clinical data are not ultimately comparable to those seen in the earlier trials, we may be required to make further changes to our process and/or undertake additional clinical testing, either of which could significantly delay the clinical development or commercialization of the associated product candidate.</w:t>
      </w:r>
    </w:p>
    <w:p>
      <w:pPr>
        <w:spacing w:after="0" w:line="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focused on unlocking the broad potential of RNA medicines (also known as oligonucleotides) to transform human health. Although we continue to build on our experience in manufacturing oligonucleotides, we have limited experience as a company manufacturing product candidates for commercial supply. We may never be successful in manufacturing product candidates in sufficient quantities or with sufficient quality for commercial use. Our manufacturing capabilities could be affected by cost-overruns, unexpected delays, equipment failures, labor shortages, operator error, natural disasters, unavailability of qualified personnel, difficulties with logistics and shipping, problems regarding yields or stability of product, contamination or other quality control issues, power failures, and numerous other factors that could prevent us from realizing the intended benefits of our manufacturing strategy and have a material adverse effect on our business.</w:t>
      </w:r>
    </w:p>
    <w:p>
      <w:pPr>
        <w:spacing w:after="0" w:line="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Furthermore, compliance with cGMP requirements and other quality issues may arise during our internal efforts to scale-up manufacturing, and with our current or any future CMOs. If contaminants are discovered in our supply of our product candidates or in our manufacturing facilities or those of our CMOs, such manufacturing facilities may need to be closed for an extended period of time to investigate and remedy the contamination. We cannot assure you that any stability failures or other issues relating to the manufacture of our product candidates will not occur in the future. Additionally, we and our CMOs may experience manufacturing difficulties due to resource constraints or as a result of labor disputes or unstable political environments. If we or our CMOs were to encounter any of these difficulties, our ability to provide our product candidate to patients in clinical trials, or to provide product for treatment of patients once approved, would be jeopardized.</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resources, we intend to focus on developing product candidates for specific indications that we identify as most likely to succeed, in terms of both regulatory approval and commercialization. As a result, we may forego or delay pursuit of opportunities with other product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fail in preclinical or clinical development or be delayed to a point where they do not become commercially viable.</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 for the commercial distribution of any of our product candidates, we must conduct, at our own expense, extensive preclinical studies and clinical trials to demonstrate the safety and efficacy in humans of our product candidates. Preclinical and clinical testing is expensive, difficult to design and implement, can take many years to complete, is uncertain as to outcome, and the historical failure rate for drugs in preclinical and clinical development is high. For example, we depend on the availability of non-human primates to conduct certain preclinical studies. Over the past several years there has been a global shortage of non-human primates available for drug development that has matured into an acute global supply chain issue. The supply of these non-human primates has been constrained due to factors such as their limited worldwide availability, domestic regulatory restrictions and trade relations. If we are unable to obtain access to a sufficient supply of these non-human primates in a timely manner or at all, our timelines and our ability to complete preclinical testing and submit IND/CTA or equivalent foreign applications may be adversely affected.</w:t>
      </w:r>
    </w:p>
    <w:p>
      <w:pPr>
        <w:spacing w:after="0" w:line="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the FDA or comparable foreign regulatory authorities or an IRB, or similar foreign review board or ethics committee, may suspend clinical trials of a product candidate at any time for various reasons, including if we or they believe the healthy volunteer subjects or patients participating in such trials are being exposed to unacceptable health risks. Among other reasons, unacceptable side effects or other more serious adverse events of a product candidate in healthy volunteer subjects or patients in a clinical trial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result in the FDA or comparable foreign regulatory authorities suspending or terminating the trial and refusing to approve a particular product candidate for any or all indications of use.</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Clinical trials also require the review, oversight and approval of IRBs or ethics committees, which review the clinical protocols and informed consent form for investigations that will be conducted at their institutions in order to protect the rights and welfare of human subjects. Inability to obtain or delay in obtaining IRB approval can prevent or delay the initiation and completion of clinical trials at particular sites. Furthermore, failure to provide information to the IRB and relevant regulatory authorities, as required throughout the study, such as emergent safety reports and annual updates, may result in suspension of the approval of the trial. Our product candidates may encounter problems during clinical trials that will cause us or regulatory authorities to delay, suspend or terminate these trials, or that will delay or confound the analysis of data from these trials. If we experience any such problems, we may not have the financial resources to continue development of the product candidate that is affected or any of our other product candidates. We may also lose, or be unable to enter into, collaborative arrangements for the affected product candidate and for other product candidates we are developing. The development of one or more of our product candidates can fail at any stage of testing. We may experience numerous unforeseen events during, or as a result of, preclinical studies and clinical trials that could delay or prevent regulatory approval or our ability to commercialize our product candidates, including:</w:t>
      </w:r>
    </w:p>
    <w:p>
      <w:pPr>
        <w:spacing w:after="0" w:line="86" w:lineRule="exact"/>
        <w:rPr>
          <w:sz w:val="20"/>
          <w:szCs w:val="20"/>
          <w:color w:val="auto"/>
        </w:rPr>
      </w:pPr>
    </w:p>
    <w:p>
      <w:pPr>
        <w:ind w:left="420" w:right="60" w:hanging="367"/>
        <w:spacing w:after="0" w:line="266"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studies or clinical trials may produce negative or inconclusive results, including results that may not meet the level of significance or clinical benefit required by the FDA or other regulators, and we may decide, or regulators may require us, to conduct additional preclinical studies or clinical trials, or we may abandon projects that we had expected to be promising;</w:t>
      </w:r>
    </w:p>
    <w:p>
      <w:pPr>
        <w:spacing w:after="0" w:line="67" w:lineRule="exact"/>
        <w:rPr>
          <w:rFonts w:ascii="Times New Roman" w:cs="Times New Roman" w:eastAsia="Times New Roman" w:hAnsi="Times New Roman"/>
          <w:sz w:val="18"/>
          <w:szCs w:val="18"/>
          <w:color w:val="auto"/>
        </w:rPr>
      </w:pPr>
    </w:p>
    <w:p>
      <w:pPr>
        <w:ind w:left="420" w:right="220" w:hanging="367"/>
        <w:spacing w:after="0" w:line="282"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INDs/CTAs or comparable foreign applications or delays or failure in obtaining the necessary approvals from regulators or IRBs in order to commence a clinical trial at a prospective trial site, or their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420" w:hanging="367"/>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on us by the FDA or comparable foreign authorities regarding the scope or design of our clinical trials;</w:t>
      </w:r>
    </w:p>
    <w:p>
      <w:pPr>
        <w:spacing w:after="0" w:line="117" w:lineRule="exact"/>
        <w:rPr>
          <w:rFonts w:ascii="Times New Roman" w:cs="Times New Roman" w:eastAsia="Times New Roman" w:hAnsi="Times New Roman"/>
          <w:sz w:val="18"/>
          <w:szCs w:val="18"/>
          <w:color w:val="auto"/>
        </w:rPr>
      </w:pPr>
    </w:p>
    <w:p>
      <w:pPr>
        <w:ind w:left="420" w:right="140" w:hanging="367"/>
        <w:spacing w:after="0" w:line="282"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divergent views between FDA and other homologue regulatory authorities as to the objectives and/or design of the clinical trials required in support of marketing registration;</w:t>
      </w:r>
    </w:p>
    <w:p>
      <w:pPr>
        <w:spacing w:after="0" w:line="53" w:lineRule="exact"/>
        <w:rPr>
          <w:rFonts w:ascii="Times New Roman" w:cs="Times New Roman" w:eastAsia="Times New Roman" w:hAnsi="Times New Roman"/>
          <w:sz w:val="18"/>
          <w:szCs w:val="18"/>
          <w:color w:val="auto"/>
        </w:rPr>
      </w:pPr>
    </w:p>
    <w:p>
      <w:pPr>
        <w:ind w:left="420" w:hanging="367"/>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 obtaining or maintaining IRB approval of trials;</w:t>
      </w:r>
    </w:p>
    <w:p>
      <w:pPr>
        <w:spacing w:after="0" w:line="117" w:lineRule="exact"/>
        <w:rPr>
          <w:rFonts w:ascii="Times New Roman" w:cs="Times New Roman" w:eastAsia="Times New Roman" w:hAnsi="Times New Roman"/>
          <w:sz w:val="18"/>
          <w:szCs w:val="18"/>
          <w:color w:val="auto"/>
        </w:rPr>
      </w:pPr>
    </w:p>
    <w:p>
      <w:pPr>
        <w:ind w:left="420" w:hanging="367"/>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or volunteers into clinical trials, and variability in the number and types of patients eligible for clinical trials;</w:t>
      </w:r>
    </w:p>
    <w:p>
      <w:pPr>
        <w:spacing w:after="0" w:line="117" w:lineRule="exact"/>
        <w:rPr>
          <w:rFonts w:ascii="Times New Roman" w:cs="Times New Roman" w:eastAsia="Times New Roman" w:hAnsi="Times New Roman"/>
          <w:sz w:val="18"/>
          <w:szCs w:val="18"/>
          <w:color w:val="auto"/>
        </w:rPr>
      </w:pPr>
    </w:p>
    <w:p>
      <w:pPr>
        <w:ind w:left="420" w:right="60" w:hanging="367"/>
        <w:spacing w:after="0" w:line="282"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and receiving regulatory approval for companion diagnostic tests, to the extent such tests are needed, to identify patients for our clinical trials;</w:t>
      </w:r>
    </w:p>
    <w:p>
      <w:pPr>
        <w:spacing w:after="0" w:line="53" w:lineRule="exact"/>
        <w:rPr>
          <w:rFonts w:ascii="Times New Roman" w:cs="Times New Roman" w:eastAsia="Times New Roman" w:hAnsi="Times New Roman"/>
          <w:sz w:val="18"/>
          <w:szCs w:val="18"/>
          <w:color w:val="auto"/>
        </w:rPr>
      </w:pPr>
    </w:p>
    <w:p>
      <w:pPr>
        <w:ind w:left="420" w:hanging="367"/>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for patients in clinical trials and substantial missing data;</w:t>
      </w:r>
    </w:p>
    <w:p>
      <w:pPr>
        <w:spacing w:after="0" w:line="117" w:lineRule="exact"/>
        <w:rPr>
          <w:rFonts w:ascii="Times New Roman" w:cs="Times New Roman" w:eastAsia="Times New Roman" w:hAnsi="Times New Roman"/>
          <w:sz w:val="18"/>
          <w:szCs w:val="18"/>
          <w:color w:val="auto"/>
        </w:rPr>
      </w:pPr>
    </w:p>
    <w:p>
      <w:pPr>
        <w:ind w:left="420" w:right="580" w:hanging="367"/>
        <w:spacing w:after="0" w:line="282"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open study sites, or enroll, treat, and monitor patients due to local restrictions implemented in response to local or global health epidemics;</w:t>
      </w:r>
    </w:p>
    <w:p>
      <w:pPr>
        <w:spacing w:after="0" w:line="53" w:lineRule="exact"/>
        <w:rPr>
          <w:rFonts w:ascii="Times New Roman" w:cs="Times New Roman" w:eastAsia="Times New Roman" w:hAnsi="Times New Roman"/>
          <w:sz w:val="18"/>
          <w:szCs w:val="18"/>
          <w:color w:val="auto"/>
        </w:rPr>
      </w:pPr>
    </w:p>
    <w:p>
      <w:pPr>
        <w:ind w:left="420" w:hanging="367"/>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w:t>
      </w:r>
    </w:p>
    <w:p>
      <w:pPr>
        <w:spacing w:after="0" w:line="117" w:lineRule="exact"/>
        <w:rPr>
          <w:rFonts w:ascii="Times New Roman" w:cs="Times New Roman" w:eastAsia="Times New Roman" w:hAnsi="Times New Roman"/>
          <w:sz w:val="18"/>
          <w:szCs w:val="18"/>
          <w:color w:val="auto"/>
        </w:rPr>
      </w:pPr>
    </w:p>
    <w:p>
      <w:pPr>
        <w:ind w:left="420" w:hanging="367"/>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future clinical trials may not confirm positive results, if any, from earlier preclinical studies and clinical trials;</w:t>
      </w:r>
    </w:p>
    <w:p>
      <w:pPr>
        <w:spacing w:after="0" w:line="117" w:lineRule="exact"/>
        <w:rPr>
          <w:rFonts w:ascii="Times New Roman" w:cs="Times New Roman" w:eastAsia="Times New Roman" w:hAnsi="Times New Roman"/>
          <w:sz w:val="18"/>
          <w:szCs w:val="18"/>
          <w:color w:val="auto"/>
        </w:rPr>
      </w:pPr>
    </w:p>
    <w:p>
      <w:pPr>
        <w:ind w:left="420" w:right="200" w:hanging="367"/>
        <w:spacing w:after="0" w:line="282"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consistently manufacture, inadequate supply, or unacceptable quality of product candidate materials or other materials necessary for the conduct of our clinical trials;</w:t>
      </w:r>
    </w:p>
    <w:p>
      <w:pPr>
        <w:spacing w:after="0" w:line="53" w:lineRule="exact"/>
        <w:rPr>
          <w:rFonts w:ascii="Times New Roman" w:cs="Times New Roman" w:eastAsia="Times New Roman" w:hAnsi="Times New Roman"/>
          <w:sz w:val="18"/>
          <w:szCs w:val="18"/>
          <w:color w:val="auto"/>
        </w:rPr>
      </w:pPr>
    </w:p>
    <w:p>
      <w:pPr>
        <w:ind w:left="420" w:hanging="367"/>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420" w:right="260" w:hanging="367"/>
        <w:spacing w:after="0" w:line="282"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side effects that may or may not be related to the product candidate being tested that are experienced by participants in our clinical trials or by individuals using drugs similar to our product candidates;</w:t>
      </w:r>
    </w:p>
    <w:p>
      <w:pPr>
        <w:spacing w:after="0" w:line="53" w:lineRule="exact"/>
        <w:rPr>
          <w:rFonts w:ascii="Times New Roman" w:cs="Times New Roman" w:eastAsia="Times New Roman" w:hAnsi="Times New Roman"/>
          <w:sz w:val="18"/>
          <w:szCs w:val="18"/>
          <w:color w:val="auto"/>
        </w:rPr>
      </w:pPr>
    </w:p>
    <w:p>
      <w:pPr>
        <w:ind w:left="420" w:hanging="367"/>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disappointing effectiveness of our product candidates during clinical trials;</w:t>
      </w:r>
    </w:p>
    <w:p>
      <w:pPr>
        <w:spacing w:after="0" w:line="117" w:lineRule="exact"/>
        <w:rPr>
          <w:rFonts w:ascii="Times New Roman" w:cs="Times New Roman" w:eastAsia="Times New Roman" w:hAnsi="Times New Roman"/>
          <w:sz w:val="18"/>
          <w:szCs w:val="18"/>
          <w:color w:val="auto"/>
        </w:rPr>
      </w:pPr>
    </w:p>
    <w:p>
      <w:pPr>
        <w:ind w:left="420" w:right="60" w:hanging="367"/>
        <w:spacing w:after="0" w:line="282"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outcome of FDA or other regulatory agency inspection and review of a manufacturing or clinical trial site or other records relating to the clinical investigation;</w:t>
      </w:r>
    </w:p>
    <w:p>
      <w:pPr>
        <w:spacing w:after="0" w:line="53" w:lineRule="exact"/>
        <w:rPr>
          <w:rFonts w:ascii="Times New Roman" w:cs="Times New Roman" w:eastAsia="Times New Roman" w:hAnsi="Times New Roman"/>
          <w:sz w:val="18"/>
          <w:szCs w:val="18"/>
          <w:color w:val="auto"/>
        </w:rPr>
      </w:pPr>
    </w:p>
    <w:p>
      <w:pPr>
        <w:ind w:left="420" w:right="700" w:hanging="367"/>
        <w:spacing w:after="0" w:line="282"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investigators, or collaboration partners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420" w:hanging="367"/>
        <w:spacing w:after="0" w:line="312" w:lineRule="auto"/>
        <w:tabs>
          <w:tab w:leader="none" w:pos="4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or regulatory delays and changes in regulatory requirements, policy and guidelines, including the imposition of additional regulatory oversight around manufacturing, preclinical, or clinical testing generally or with respect to the class, of any of our product candidates, in particular; or</w:t>
      </w:r>
    </w:p>
    <w:p>
      <w:pPr>
        <w:spacing w:after="0" w:line="31" w:lineRule="exact"/>
        <w:rPr>
          <w:rFonts w:ascii="Times New Roman" w:cs="Times New Roman" w:eastAsia="Times New Roman" w:hAnsi="Times New Roman"/>
          <w:sz w:val="17"/>
          <w:szCs w:val="17"/>
          <w:color w:val="auto"/>
        </w:rPr>
      </w:pPr>
    </w:p>
    <w:p>
      <w:pPr>
        <w:ind w:left="420" w:hanging="367"/>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spacing w:after="0" w:line="261" w:lineRule="auto"/>
        <w:rPr>
          <w:sz w:val="20"/>
          <w:szCs w:val="20"/>
          <w:color w:val="auto"/>
        </w:rPr>
      </w:pPr>
      <w:r>
        <w:rPr>
          <w:rFonts w:ascii="Times New Roman" w:cs="Times New Roman" w:eastAsia="Times New Roman" w:hAnsi="Times New Roman"/>
          <w:sz w:val="18"/>
          <w:szCs w:val="18"/>
          <w:color w:val="auto"/>
        </w:rPr>
        <w:t>If we do not successfully conduct clinical development, we will not be able to market and sell products derived from our product candidates and to generate product revenues. Even if we do successfully complete clinical trials, those results are not necessarily predictive of results of additional trials that may be needed before we can submit an application for regulatory approval to the FDA or foreign regulatory agencies. If the development of any of our product candidates fails or is delayed to a point where such product candidate is no longer commercially viable, our business may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early clinical trials may not be predictive of results of subsequent clinical trials.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predict the results that will be obtained in subsequent subjects or in subsequent clinical trials of that product candidate or any other product candidate. The design of a clinical trial can determine whether its results will support approval of a product candidate and flaws in the design of a clinical trial may not become apparent until the clinical trial is well advanced. In addition, preclinical and clinical data are often susceptible to varying interpretations and analyses. Product candidates that seemingly perform satisfactorily in preclinical studies may nonetheless fail to reach late development stages or obtain regulatory approval for marketing. For example, our preclinical studies for WVE-004 for C9orf72-associated amyotrophic lateral sclerosis and frontotemporal dementia (“C9-ALS/FTD”) yielded positive results. However, in May 2023, the topline results of the Phase 1b/2a study of WVE-004 for patients with C9-ALS/FTD showed no trends in clinical benefit and reductions in poly(GP) were not correlated with changes in functional outcome and resulted in our discontinuation of the WVE-004 program.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local or global health issues, the size of the patient population, the age and condition of the patients, the stage and severity of disease, the nature and requirements of the protocol, the proximity of patients to clinical sites, the availability of effective treatments for the relevant disease,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addition, our success may depend, in part, on our ability to identify patients who qualify for our clinical trials, or are likely to benefit from any medicines that we may develop, which will require those potential patients to undergo a screening assay, which we also refer to as a companion diagnostic test, for the presence or absence of a particular genetic sequence. For example, in HD, we are conducting a clinical trial for WVE-003, which targets a SNP associated with the mutant allele of the </w:t>
      </w:r>
      <w:r>
        <w:rPr>
          <w:rFonts w:ascii="Times New Roman" w:cs="Times New Roman" w:eastAsia="Times New Roman" w:hAnsi="Times New Roman"/>
          <w:sz w:val="18"/>
          <w:szCs w:val="18"/>
          <w:i w:val="1"/>
          <w:iCs w:val="1"/>
          <w:color w:val="auto"/>
        </w:rPr>
        <w:t>HTT</w:t>
      </w:r>
      <w:r>
        <w:rPr>
          <w:rFonts w:ascii="Times New Roman" w:cs="Times New Roman" w:eastAsia="Times New Roman" w:hAnsi="Times New Roman"/>
          <w:sz w:val="18"/>
          <w:szCs w:val="18"/>
          <w:color w:val="auto"/>
        </w:rPr>
        <w:t xml:space="preserve"> gene. Approximately 40% of the HD patient population carry this SNP. We have developed a novel screening assay that is intended to identify whether a patient has the particular SNP that our product candidate is targeting, and we have partnered with a third party for testing in future trials. If we, or any third parties that we engage to assist us are unable to successfully identify patients with the appropriate SNP that we are targeting, the percentage of patients with the SNP we are targeting is lower than expected, or we experience delays in testing, we may not realize the full commercial potential of any product candidates we develop.</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Congress also amended the FDCA to require sponsors of a Phase 3 clinical trial, or other “pivotal study” of a new drug to support marketing authorization, to design and submit a diversity action plan for such clinical trial. The action plan must describe appropriate diversity goals for enrollment, as well as a rationale for the goals and a description of how the sponsor will meet them. Although none of our product candidates has reached Phase 3 of clinical development, we must submit a diversity action plan to the FDA by the time we submit a Phase 3 trial, or pivotal study, protocol to the agency for review, unless we are able to obtain a waiver for some or all of the requirements for a diversity action plan. Initiation of such trials may be delayed if the FDA objects to our proposed diversity action plans for any future Phase 3 trial for our product candidates, and we may experience difficulties recruiting a diverse population of patients in attempting to fulfill the requirements of any approved diversity action plan.</w:t>
      </w:r>
    </w:p>
    <w:p>
      <w:pPr>
        <w:spacing w:after="0" w:line="18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or obtain regulatory approval for companion diagnostic tests for our product candidates, or experience significant delays in doing so, our clinical trials may be delayed and our business could be materially harmed.</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development programs for some of our product candidates contemplate the development of companion diagnostic tests, which are assays or tests to identify an appropriate patient population. The success of certain of our product candidates will depend on several factors, including the successful development of, and ability to obtain regulatory approval for, companion diagnostic tests that will be used to screen and identify the right patients for our product candidates. Our goal is to develop and commercialize disease-modifying medicines for genetically defined diseases with a high degree of unmet medical need, and to become a fully integrated RNA medicines company. The target patient populations for several of our product candidates are relatively small, and it will be difficult to successfully identify the appropriate patients for whom our product candidates are being designed without performant, fit-for-purpose, accessible, relatively inexpensive, and easy-to-use companion diagnostic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spacing w:after="0" w:line="253" w:lineRule="auto"/>
        <w:rPr>
          <w:sz w:val="20"/>
          <w:szCs w:val="20"/>
          <w:color w:val="auto"/>
        </w:rPr>
      </w:pPr>
      <w:r>
        <w:rPr>
          <w:rFonts w:ascii="Times New Roman" w:cs="Times New Roman" w:eastAsia="Times New Roman" w:hAnsi="Times New Roman"/>
          <w:sz w:val="18"/>
          <w:szCs w:val="18"/>
          <w:color w:val="auto"/>
        </w:rPr>
        <w:t xml:space="preserve">Companion diagnostic tests are subject to regulation by the FDA and similar regulatory authorities outside the United States as medical devices, often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devices, and require separate regulatory authorization prior to commercialization. We are not a medical device company, and we have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developing medical devices. A more detailed description of the FDA approval process for companion diagnostic tests is included under “Business – Government Regulation – In Vitro Diagnostic Tests for Biomarkers.” Given our limited experience in developing and commercializing companion diagnostic tests, we may seek to collaborate with third parties to assist us in the design, manufacture, regulatory authorization and commercialization of the companion diagnostic tests for some of our product candidates. In November 2019, we entered into a collaboration with Asuragen for the development and commercialization of companion diagnostics for our allele-selective product candidate in HD. We, Asuragen and other potential collaborators may encounter difficulties in developing and obtaining approval for the companion diagnostic tests, including issues relating to sensitivity/specificity, analytical validation, reproducibility, or clinical validation. Any delay or failure by us or our collaborators to develop or obtain regulatory authorization of the relevant companion diagnostic tests could delay or prevent approval of our product candidates. If we, Asuragen or any other third parties that we engage to assist us, are unable to successfully develop, validate, and commercialize companion diagnostic tests for our drug candidates, or experience delays in doing so, our clinical trials and our business could be materially harmed.</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in the United States or foreign jurisdictions and, as a result, be unable to commercialize our product candidates and our ability to generate revenue will be materially impaired.</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product candidates are subject to extensive governmental regulations relating to, among other things, research, testing, development, manufacturing, quality, safety, efficacy, approval, recordkeeping, reporting, labeling, storage, packaging, advertising and promotion, pricing, marketing and distribution of drugs. Rigorous preclinical studies and clinical trials, and an extensive regulatory approval process are required to be successfully completed in the United States and in many foreign jurisdictions before a new drug can be marketed. Satisfaction of these and other regulatory requirements is costly, time consuming, uncertain, and subject to a continuously evolving regulatory environment and unanticipated delays. It is possible that none of the product candidates we may develop will obtain the regulatory approvals necessary for us or our collaborators to begin selling them.</w:t>
      </w:r>
    </w:p>
    <w:p>
      <w:pPr>
        <w:spacing w:after="0" w:line="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companies such as ours are not always applied predictably or uniformly and can change. Any analysis we perform of data from chemistry, manufacturing and controls,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adversely affect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Strategy (“REMS”), as a condition of approval, which may impose further requirements or restrictions on the distribution or safe use of an approved drug, such as limiting prescribing rights to certain physicians or medical centers that have undergone specialized training, limiting treatment to patients as specially defined by the indication statement or who meet certain safe-use criteria, and requiring treated patients to enroll in a registry, among other requirements. These limitations and restrictions may limit the size of the market for the product and affect reimbursement by third-party payors.</w:t>
      </w:r>
    </w:p>
    <w:p>
      <w:pPr>
        <w:spacing w:after="0" w:line="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payment. The foreign regulatory approval process varies among countries and may include all of the risks associated with FDA approval described above, as well as risks attributable to the satisfaction of local regulations in foreign jurisdictions. Approval by the FDA does not ensure approval by comparable regulatory authorities outside of the United States and vice versa.</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granted orphan drug designations in the United States for any of our product candidates, there can be no guarantee that we will maintain orphan status for these product candidates or receive approval for any product candidate with an orphan drug designation.</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Subject to receiving approval from the FDA of an NDA or Biologics License Application, products granted orphan drug designation are provided with seven years of orphan marketing exclusivity in the United States, meaning the FDA generally will not approve applications for other product candidates for the same orphan indication that contain the same active ingredient.</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not guaranteed to maintain or receive orphan designation for our current or future product candidates, and if our product candidates that were granted orphan designation were to lose their status as an orphan drug or the orphan marketing exclusivity provided to it in the United States, our business and results of operations could be materially adversely affected. While orphan status for any of our products, if granted or maintained, would provide market exclusivity in the United States for the time periods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47" w:name="page48"/>
    <w:bookmarkEnd w:id="47"/>
    <w:p>
      <w:pPr>
        <w:spacing w:after="0" w:line="256" w:lineRule="auto"/>
        <w:rPr>
          <w:sz w:val="20"/>
          <w:szCs w:val="20"/>
          <w:color w:val="auto"/>
        </w:rPr>
      </w:pPr>
      <w:r>
        <w:rPr>
          <w:rFonts w:ascii="Times New Roman" w:cs="Times New Roman" w:eastAsia="Times New Roman" w:hAnsi="Times New Roman"/>
          <w:sz w:val="18"/>
          <w:szCs w:val="18"/>
          <w:color w:val="auto"/>
        </w:rPr>
        <w:t>above, we would not be able to exclude other companies from manufacturing and/or selling products using the same active ingredient for the same indication beyond the exclusivity period applicable to our product on the sole basis of orphan drug status. In addition, orphan exclusivity does not block the approval of a different drug or biologic for the same rare disease or condition, nor does it block the approval of the same drug or biologic for different conditions. Even if we are the first to obtain approval of an orphan product candidate and are granted exclusivity in the United States, there are circumstances under which a later competitor product may be approved for the same indication during the period of marketing exclusivity, such as if the later product is shown to be clinically superior to our product or if we are not able to provide a sufficient quantity of the orphan drug.</w:t>
      </w:r>
    </w:p>
    <w:p>
      <w:pPr>
        <w:spacing w:after="0" w:line="183"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our marketed drugs will be subject to ongoing regulatory oversight. If we or our collaborators or contractors fail to comply with continuing U.S. and foreign requirements, our approvals, if obtained, could be limited or withdrawn, we could be subject to other penalties, and our business would be seriously harmed.</w:t>
      </w:r>
    </w:p>
    <w:p>
      <w:pPr>
        <w:spacing w:after="0" w:line="6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Following any initial regulatory approval of any drugs we may develop, we will also be subject to continuing regulatory oversight, including the review of adverse drug experiences and safety data that are reported after our drug products are made commercially available. This would include results from any post-marketing studies or surveillance to monitor the safety and efficacy of the drug product required as a condition of approval or agreed to by us. Any regulatory approvals that we receive for our product candidates may also be subject to limitations on the approved uses for which the product may be marketed. Other ongoing regulatory requirements include, among other things, submissions of safety and other post-marketing information and reports, registration and listing, as well as continued maintenance of our marketing application, compliance with cGMP requirements and quality oversight, compliance with post-marketing commitments, and compliance with GCP for any clinical trials that we conduct post-approval. Failure to comply with these requirements could result in warning or untitled letters, criminal or civil penalties, recalls, or product withdrawals. In addition, we are conducting our clinical trials and we intend to seek approval to market our product candidates in jurisdictions outside of the United States, and therefore will be subject to, and must comply with, regulatory requirements in those jurisdictions.</w:t>
      </w:r>
    </w:p>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FDA has significant post-market authority, including, for example, the authority to require labeling changes based on new safety information and to require post-market studies or clinical trials for a variety of reasons. The FDA also has the authority to require a REMS plan after approval, which may impose further requirements or restrictions on the distribution or use of an approved drug.</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our CMOs, and the manufacturing facilities we use to make our product candidates will also be subject to ongoing assessment of product quality, compliance with cGMP, and periodic inspection by the FDA and potentially other regulatory agencies. We or our CMOs may not be able to comply with applicable cGMP regulations or similar regulatory requirements outside of the United States. Our failure, or the failure of our CMOs,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drugs, refusal to permit import or export of our products, operating restrictions, consent decrees and criminal prosecutions, any of which could significantly and adversely affect supplies of our products. We may not have the ability or capacity to manufacture material at a broader commercial scale in the future. We and our CMOs currently manufacture a limited supply of clinical trial materials. Reliance on CMOs entails risks to which we would not be subject if we manufactured all of our material ourselves, including reliance on the CMO for regulatory compliance. Our product promotion and advertising will also be subject to regulatory requirements and continuing regulatory review.</w:t>
      </w:r>
    </w:p>
    <w:p>
      <w:pPr>
        <w:spacing w:after="0" w:line="19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to market our product candidates, the market may not be receptive to our product candidates upon their commercial introduction, which will prevent us from becoming profitable.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oligonucleotides. As a result, it may be more difficult for us to convince the medical community and third-party payors to accept and use our product, or to provide favorable reimbursement.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we believe will materially affect market acceptance of our product candidates include:</w:t>
      </w:r>
    </w:p>
    <w:p>
      <w:pPr>
        <w:spacing w:after="0" w:line="117" w:lineRule="exact"/>
        <w:rPr>
          <w:sz w:val="20"/>
          <w:szCs w:val="20"/>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regulatory approvals, the terms of any approvals and the countries in which approvals are obtained;</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consistently manufacture our products within acceptable quality standards;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 as demonstrated in clinical trials and as compared with alternative treatments, if any;</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seriousness and severity of any side effects;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ind w:left="1400" w:right="220" w:hanging="374"/>
        <w:spacing w:after="0" w:line="282" w:lineRule="auto"/>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potentially new routes of administration and their risk tolerance as it relates to potentially serious side effects;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government and third-party payer coverage and adequate reimbursement;</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7" w:lineRule="exact"/>
        <w:rPr>
          <w:rFonts w:ascii="Times New Roman" w:cs="Times New Roman" w:eastAsia="Times New Roman" w:hAnsi="Times New Roman"/>
          <w:sz w:val="18"/>
          <w:szCs w:val="18"/>
          <w:color w:val="auto"/>
        </w:rPr>
      </w:pPr>
    </w:p>
    <w:p>
      <w:pPr>
        <w:ind w:left="1400" w:right="500" w:hanging="374"/>
        <w:spacing w:after="0" w:line="282" w:lineRule="auto"/>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effective treatments for the diseases that product candidates we develop are intended to treat and the relative risks, benefits and costs of those treatments.</w:t>
      </w:r>
    </w:p>
    <w:p>
      <w:pPr>
        <w:spacing w:after="0" w:line="54"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In addition, our estimates regarding the potential market size may be materially different from what we currently expect at the time we commence commercialization, which could result in significant changes in our business plan and may significantly harm our results of operations and financial condition.</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pharmaceutical industry is intensely competitive. If we are unable to compete effectively with existing drugs, new treatment methods and new technologies, we may be unable to commercialize successfully any drugs that we develop.</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pharmaceutical industry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68" w:lineRule="exact"/>
        <w:rPr>
          <w:sz w:val="20"/>
          <w:szCs w:val="20"/>
          <w:color w:val="auto"/>
        </w:rPr>
      </w:pPr>
    </w:p>
    <w:p>
      <w:pPr>
        <w:ind w:left="1400" w:right="360" w:hanging="374"/>
        <w:spacing w:after="0" w:line="282" w:lineRule="auto"/>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much greater financial, technical and human resources than we have at every stage of the discovery, development, manufacture and commercialization of products;</w:t>
      </w:r>
    </w:p>
    <w:p>
      <w:pPr>
        <w:spacing w:after="0" w:line="53" w:lineRule="exact"/>
        <w:rPr>
          <w:rFonts w:ascii="Times New Roman" w:cs="Times New Roman" w:eastAsia="Times New Roman" w:hAnsi="Times New Roman"/>
          <w:sz w:val="18"/>
          <w:szCs w:val="18"/>
          <w:color w:val="auto"/>
        </w:rPr>
      </w:pPr>
    </w:p>
    <w:p>
      <w:pPr>
        <w:ind w:left="1400" w:right="540" w:hanging="374"/>
        <w:spacing w:after="0" w:line="282" w:lineRule="auto"/>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experience in designing and conducting preclinical studies and clinical trials, obtaining regulatory approvals, and manufacturing, marketing and selling pharmaceutical products;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that are based on previously tested or accepted technologies;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have been approved or are in late stages of development; and</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in our target markets with leading companies and research institutions.</w:t>
      </w:r>
    </w:p>
    <w:p>
      <w:pPr>
        <w:spacing w:after="0" w:line="1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will face intense competition from drugs that have already been approved and accepted by the medical community for the treatment of the conditions for which we may develop drugs. We also expect to face competition from new drugs that enter the market. We believe a significant number of drugs are currently under development, and may become commercially available in the future, for the treatment of conditions that our current or future product candidates are or may be designed to treat. These drugs may be more effective, safer, less expensive, or marketed and sold more effectively, than any products we develop.</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competitors may develop or commercialize products with significant advantages over any products we are able to develop and commercialize based on many different factors, including:</w:t>
      </w:r>
    </w:p>
    <w:p>
      <w:pPr>
        <w:spacing w:after="0" w:line="54" w:lineRule="exact"/>
        <w:rPr>
          <w:sz w:val="20"/>
          <w:szCs w:val="20"/>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effectiveness of our products relative to alternative therapies, if any;</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with which our products can be administered and the extent to which patients accept relatively new routes of administration;</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regulatory approvals for these products;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manufacturing, marketing and sales capabilities;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coverage and higher levels of reimbursement; and</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position.</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 candidates. Such competitors could also recruit our employees, which could negatively impact our level of expertise and our ability to execute on our business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manufacturers, service providers or other third parties fail to comply with applicable healthcare laws and regulations, we or they could be subject to enforcement actions, which could affect our ability to develop, market and sell our products and may harm our reputation.</w:t>
      </w:r>
    </w:p>
    <w:p>
      <w:pPr>
        <w:spacing w:after="0" w:line="5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currently, or may in the future, be subject to federal, state, local, and comparable foreign healthcare laws and regulations relating to areas such as fraud and abuse and patients’ rights. These laws may constrain the business or financial arrangements and relationships through which we conduct our operations, including how we research, market, sell and distribute our products for which we obtain marketing approval. These laws and regulations include:</w:t>
      </w:r>
    </w:p>
    <w:p>
      <w:pPr>
        <w:spacing w:after="0" w:line="72" w:lineRule="exact"/>
        <w:rPr>
          <w:sz w:val="20"/>
          <w:szCs w:val="20"/>
          <w:color w:val="auto"/>
        </w:rPr>
      </w:pPr>
    </w:p>
    <w:p>
      <w:pPr>
        <w:ind w:left="1400" w:right="160" w:hanging="374"/>
        <w:spacing w:after="0" w:line="261" w:lineRule="auto"/>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a healthcare item or service, or the purchasing, recommending, or ordering of an item or service, for which payment may be made under a federal healthcare program such as Medicare or Medicaid;</w:t>
      </w:r>
    </w:p>
    <w:p>
      <w:pPr>
        <w:spacing w:after="0" w:line="71" w:lineRule="exact"/>
        <w:rPr>
          <w:rFonts w:ascii="Times New Roman" w:cs="Times New Roman" w:eastAsia="Times New Roman" w:hAnsi="Times New Roman"/>
          <w:sz w:val="18"/>
          <w:szCs w:val="18"/>
          <w:color w:val="auto"/>
        </w:rPr>
      </w:pPr>
    </w:p>
    <w:p>
      <w:pPr>
        <w:ind w:left="1400" w:right="80" w:hanging="374"/>
        <w:spacing w:after="0" w:line="261" w:lineRule="auto"/>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and civil monetary penalties laws, including the False Claims Act, which prohibits, among other things, individuals or entities from knowingly presenting or causing to be presented, claims for payment by government-funded programs such as Medicare or Medicaid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400" w:right="160" w:hanging="374"/>
        <w:spacing w:after="0" w:line="282" w:lineRule="auto"/>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among other things, criminalizes a wide array of conduct involving public and private healthcare benefits, creates new civil enforcement mechanisms and increases civil and criminal penalties for healthcare fraud;</w:t>
      </w:r>
    </w:p>
    <w:p>
      <w:pPr>
        <w:spacing w:after="0" w:line="53" w:lineRule="exact"/>
        <w:rPr>
          <w:rFonts w:ascii="Times New Roman" w:cs="Times New Roman" w:eastAsia="Times New Roman" w:hAnsi="Times New Roman"/>
          <w:sz w:val="18"/>
          <w:szCs w:val="18"/>
          <w:color w:val="auto"/>
        </w:rPr>
      </w:pPr>
    </w:p>
    <w:p>
      <w:pPr>
        <w:jc w:val="both"/>
        <w:ind w:left="1400" w:right="180" w:hanging="374"/>
        <w:spacing w:after="0" w:line="266" w:lineRule="auto"/>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HITECH Act, and its implementing regulations, which strengthen and expand requirements relating to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67" w:lineRule="exact"/>
        <w:rPr>
          <w:rFonts w:ascii="Times New Roman" w:cs="Times New Roman" w:eastAsia="Times New Roman" w:hAnsi="Times New Roman"/>
          <w:sz w:val="18"/>
          <w:szCs w:val="18"/>
          <w:color w:val="auto"/>
        </w:rPr>
      </w:pPr>
    </w:p>
    <w:p>
      <w:pPr>
        <w:ind w:left="1400" w:right="20" w:hanging="374"/>
        <w:spacing w:after="0" w:line="256" w:lineRule="auto"/>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Physician Payments Sunshine Act, which requires certain manufacturers of medical devices, biological products, medical supplies, and drugs for which payment is available under Medicare, Medicaid or the Children’s Health Insurance Program, with specific exceptions, to report annually to CMS all transfers of value made to physicians, certain advanced non-physician healthcare practitioners, or teaching hospitals and requires applicable manufacturers and applicable group purchasing organizations to report annually to CMS ownership and investment interests held by physicians and their immediate family members. Disclosure of such information is made by CMS on a publicly available website; and</w:t>
      </w:r>
    </w:p>
    <w:p>
      <w:pPr>
        <w:spacing w:after="0" w:line="79" w:lineRule="exact"/>
        <w:rPr>
          <w:rFonts w:ascii="Times New Roman" w:cs="Times New Roman" w:eastAsia="Times New Roman" w:hAnsi="Times New Roman"/>
          <w:sz w:val="18"/>
          <w:szCs w:val="18"/>
          <w:color w:val="auto"/>
        </w:rPr>
      </w:pPr>
    </w:p>
    <w:p>
      <w:pPr>
        <w:ind w:left="1400" w:hanging="374"/>
        <w:spacing w:after="0" w:line="255" w:lineRule="auto"/>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comparable to each of the above federal laws, such as, for example: state anti-kickback and false claims laws applicable to commercial insurers and other non-federal payors; state laws that require pharmaceutical manufacturers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some which differ from each other in significant ways and often are not preempted by HIPAA, thus complicating compliance efforts.</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our operations are found to be in violation of any such requirements, we may be subject to penalties, including civil or criminal penalties, criminal prosecution, monetary damages, the curtailment or restructuring of our operations, loss of eligibility to obtain approvals from the FDA, exclusion from participation in federal healthcare programs including Medicare and Medicaid, the imposition of a corporate integrity agreement with the Office of Inspector General for DHHS, disgorgement, individual imprisonment, contractual damages, reputational harm, and diminished profits and future earnings, any of which could adversely affect our financial results and adversely affect our ability to operate our business. We intend to develop and implement a comprehensive corporate compliance program prior to the commercialization of our product candidates. Although effective compliance programs can mitigate the risk of investigation and prosecution for violations of these laws, these risks cannot be entirely eliminated. Any action against us for an alleged or suspected violation could cause us to incur significant legal expenses, could divert our management’s attention from the operation of our business, and could harm our reputation, even if our defense is successful. In addition, achieving and sustaining compliance with applicable laws and regulations may be costly to us in terms of money, time and resources.</w:t>
      </w:r>
    </w:p>
    <w:p>
      <w:pPr>
        <w:spacing w:after="0" w:line="86"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color w:val="auto"/>
        </w:rPr>
        <w:t>Furthermore, if the FDA or a comparable foreign regulatory authority approves any of our drug candidates, activities such as the manufacturing processes, labeling, packaging, distribution, adverse event reporting, storage, advertising, promotion and record keeping for the products will be subject to extensive and ongoing regulatory requirements. These requirements include submissions of safety and other post-marketing information and reports, registration, as well as continued compliance with cGMP. The FDA or a comparable foreign regulatory authority may also impose requirements for costly post-marketing nonclinical studies or clinical trials (often called “Phase 4 trials”) and post-marketing surveillance to monitor the safety or efficacy of the product. If we or a regulatory authority discover previously unknown problems with a product, such as adverse events of unanticipated severity or 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0" w:name="page51"/>
    <w:bookmarkEnd w:id="50"/>
    <w:p>
      <w:pPr>
        <w:ind w:right="100"/>
        <w:spacing w:after="0" w:line="261" w:lineRule="auto"/>
        <w:rPr>
          <w:sz w:val="20"/>
          <w:szCs w:val="20"/>
          <w:color w:val="auto"/>
        </w:rPr>
      </w:pPr>
      <w:r>
        <w:rPr>
          <w:rFonts w:ascii="Times New Roman" w:cs="Times New Roman" w:eastAsia="Times New Roman" w:hAnsi="Times New Roman"/>
          <w:sz w:val="18"/>
          <w:szCs w:val="18"/>
          <w:color w:val="auto"/>
        </w:rPr>
        <w:t>production issues with the facility where the product is manufactured or processed, such as product contamination or significant non-compliance with applicable cGMP requirements, a regulator may impose restrictions on that product, the manufacturing facility or us. If we or our collaborators or third-party service providers, including our CMOs, fail to comply fully with applicable regulations, then we may be required to initiate a recall or withdrawal of our products.</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previously unknown problems with one of our products, if approved, including adverse events of unanticipated severity or frequency, or with our third-party manufacturers or manufacturing processes are discovered, or if we or our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5" w:lineRule="exact"/>
        <w:rPr>
          <w:sz w:val="20"/>
          <w:szCs w:val="20"/>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and/or untitled letters;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our products;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our products;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use or distribution of our products;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our products;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product approvals;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and</w:t>
      </w:r>
    </w:p>
    <w:p>
      <w:pPr>
        <w:spacing w:after="0" w:line="117" w:lineRule="exact"/>
        <w:rPr>
          <w:rFonts w:ascii="Times New Roman" w:cs="Times New Roman" w:eastAsia="Times New Roman" w:hAnsi="Times New Roman"/>
          <w:sz w:val="18"/>
          <w:szCs w:val="18"/>
          <w:color w:val="auto"/>
        </w:rPr>
      </w:pPr>
    </w:p>
    <w:p>
      <w:pPr>
        <w:ind w:left="1400" w:right="520" w:hanging="374"/>
        <w:spacing w:after="0" w:line="282" w:lineRule="auto"/>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up to and including criminal prosecution resulting in fines, exclusion from healthcare reimbursement programs and imprisonment.</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Moreover, federal, state or foreign laws or regulations are subject to change, and while we, our collaborators, manufacturers and/or service providers currently may be compliant, that could change due to changes in interpretation, prevailing industry standards or other reasons.</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drugs we develop may become subject to unfavorable pricing regulations, third-party reimbursement practices or healthcare reform initiatives, thereby harming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Because our product candidates represent new approaches to the treatment of genetic-based diseases, we cannot be sure that coverage and reimbursement will be available for, or accurately estimate the potential revenue from, our product candidates or assure that coverage and reimbursement will be available for any product that we may develop. 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could delay our commercial launch of the product and negatively impact any potential revenues we may be able to generate from the sale of the product in that country and potentially in other countries due to reference pricing or other measures to reduce drug prices.</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also depend in part on the extent to which coverage and adequate reimbursement/payment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At this time, we are unable to determine their cost effectiveness or the likely level or method of reimbursement for our product candidates. Increasingly, third-party payors, such as government and private insurance plans, are requiring that drug companies provide them with predetermined discounts from list prices, and are seeking to reduce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ind w:right="180"/>
        <w:spacing w:after="0" w:line="282" w:lineRule="auto"/>
        <w:rPr>
          <w:sz w:val="20"/>
          <w:szCs w:val="20"/>
          <w:color w:val="auto"/>
        </w:rPr>
      </w:pPr>
      <w:r>
        <w:rPr>
          <w:rFonts w:ascii="Times New Roman" w:cs="Times New Roman" w:eastAsia="Times New Roman" w:hAnsi="Times New Roman"/>
          <w:sz w:val="18"/>
          <w:szCs w:val="18"/>
          <w:color w:val="auto"/>
        </w:rPr>
        <w:t>prices charged or the amounts paid for pharmaceutical products. If the price we are able to charge for any products we develop, or the payments provided for such products, is inadequate in light of our development and other costs, our return on investment could be adversely affected.</w:t>
      </w:r>
    </w:p>
    <w:p>
      <w:pPr>
        <w:spacing w:after="0" w:line="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currently expect that any drugs we develop may need to be administered under the supervision of a physician on an outpatient basis. Under currently applicable U.S. law, certain drugs that are not usually self-administered (such as most injectable drugs) may be eligible for coverage under the Medicare Part B program if:</w:t>
      </w:r>
    </w:p>
    <w:p>
      <w:pPr>
        <w:spacing w:after="0" w:line="68" w:lineRule="exact"/>
        <w:rPr>
          <w:sz w:val="20"/>
          <w:szCs w:val="20"/>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incident to a physician’s services;</w:t>
      </w:r>
    </w:p>
    <w:p>
      <w:pPr>
        <w:spacing w:after="0" w:line="117" w:lineRule="exact"/>
        <w:rPr>
          <w:rFonts w:ascii="Times New Roman" w:cs="Times New Roman" w:eastAsia="Times New Roman" w:hAnsi="Times New Roman"/>
          <w:sz w:val="18"/>
          <w:szCs w:val="18"/>
          <w:color w:val="auto"/>
        </w:rPr>
      </w:pPr>
    </w:p>
    <w:p>
      <w:pPr>
        <w:ind w:left="1400" w:right="340" w:hanging="374"/>
        <w:spacing w:after="0" w:line="282" w:lineRule="auto"/>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reasonable and necessary for the diagnosis or treatment of the illness or injury for which they are administered according to accepted standards of medical practice; and</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been approved by the FDA and meet other requirements of the statute.</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may be significant delays in obtaining coverage for newly-approved drugs, and coverage may be more limited than the indications for which the drug is approved by the FDA or comparable foreign regulatory authorities. Patients who are prescribed medications for the treatment of their conditions, and their prescribing physicians, generally rely on third-party payors to pay all or part of the costs associated with their prescription drugs. Patients are unlikely to use our products unless coverage is provided and payment is adequate to cover all or a significant portion of the cost of our products. Therefore, coverage and adequate payment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of our drug products, if approved, will be paid for in all cases or at a rate that covers our costs, including research, development, manufacture, sale and distribution. Interim payments for new drugs, if applicable, may also not be sufficient to cover our costs and may not be made permanent. Reimbursement may be based on payments allowed for lower-cost drugs that are already reimbursed, may be incorporated into existing 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new drugs that we develop and for which we obtain regulatory approval could adversely affect our operating results, our ability to raise capital needed to commercialize products, and our overall financial condition.</w:t>
      </w:r>
    </w:p>
    <w:p>
      <w:pPr>
        <w:spacing w:after="0" w:line="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Further, there have been, and may continue to be, legislative and regulatory proposals at the U.S. federal and state levels and in foreign jurisdictions directed at broadening the availability and containing or lowering the cost of healthcare. The continuing efforts of the government, insurance companies, managed care organizations and other third-party payors to contain or reduce costs of healthcare may adversely affect our ability to set prices for our products that would allow us to achieve or sustain profitability. In addition, governments may impose price controls on any of our products that obtain marketing approval, which may adversely affect our future profitability.</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Inflation Reduction Act of 2022 (“IRA”) was signed into law in August 2022 (see above “Government Regulation—Healthcare Reform”). Additional state and federal healthcare reform measures are expected to be adopted in the future, any of which could limit the amounts that federal and state governments will pay for healthcare products and services, which could result in reduced demand for certain biopharmaceutical products or additional pricing pressures.</w:t>
      </w:r>
    </w:p>
    <w:p>
      <w:pPr>
        <w:spacing w:after="0" w:line="7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some foreign countries, particularly the member states of the European Union, the pricing of prescription pharmaceuticals is subject to governmental control. In these countries, pricing negotiations with governmental authorities can be a long and expensive process after the receipt of marketing approval for a drug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additional clinical trials that compare the cost-effectiveness of our drug candidates to other available therapies in order to obtain reimbursement or pricing approval. Publication of discounts by third-party payors or authorities may lead to further pressure on prices or reimbursement levels within the country of publication and other countries. If reimbursement of our products is unavailable or limited in scope or amount in a particular country, or if pricing is set at unsatisfactory levels, we may be unable to successfully commercialize and achieve or sustain profitability for sales of any of our drug candidates that are approved for marketing in that country and our business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litigation, and intellectual property rights, are subject to extensive legislation and regulation. Changes in applicable U.S. federal and state laws and agency regulation, as well as foreign laws and regulations, could have a materially negative impact on our business. In the United States and in some other jurisdictions, there have been a number of legislative and regulatory changes and proposed changes regarding the healthcare system that could prevent or delay marketing approval of our product candidates or any potential future product candidates of ours, restrict or regulate post-approval activities, or affect our ability to profitably sell any product candidates for which we obtain marketing approval. Increased scrutiny by the U.S. Congress of the FDA’s approval process may significantly delay or prevent marketing approval, as well as subject us to more stringent product labeling and post-marketing testing and other requirements. Congress also must reauthorize the FDA’s user fee programs every five years and often makes changes to those programs in addition to policy or procedural changes that may be negotiated between the FDA and industry stakeholders as part of this periodic reauthorization process. Congress most recently reauthorized the user fee programs in September 2022 without any substantive policy changes. The next FDA user fee reauthorization package entered the stakeholder negotiation phase in mid-2025, and the resulting agreement is expected to be sent to Congress in early 2027 for purposes of initiating the legislative process. Reauthorization of the prescription drug user fee program must be finalized by Congress by the end of September 2027 in order to avoid a disruption in FDA’s review goals for NDAs and other activities supported by user fees assessed against industry.</w:t>
      </w:r>
    </w:p>
    <w:p>
      <w:pPr>
        <w:spacing w:after="0" w:line="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focus of these efforts and has been significantly affected by major legislative initiatives. For example, in March 2010, Congress passed the ACA,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and established a Center for Medicare Innovation at the CMS to test innovative payment and service delivery models to lower Medicare and Medicaid spending.</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the IRA’s drug price negotiation provisions summarized above, Executive Order 14087, issued in October 2022, called for the CMS Innovation Center to prepare and submit a report to the White House on potential payment and delivery modes that would complement to IRA, lower drug costs, and promote access to innovative drugs. In February 2023, CMS published its report which described three potential models focusing on affordability, accessibility and feasibility of implementation for further testing by the CMS Innovation Center. The CMS Innovation Center’s is still testing the majority of the proposed models.</w:t>
      </w:r>
    </w:p>
    <w:p>
      <w:pPr>
        <w:spacing w:after="0" w:line="75"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We expect that future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considering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CMS promulgated a regulation permitting Medicare Advantage plans to use step therapy for Part B drugs beginning January 1, 2020. In addition, the 2021 Consolidated Appropriations Act incorporated extensive healthcare provisions and amendments to existing laws, including a requirement that all manufacturers of drug products covered under Medicare Part B report the product’s average sales price to CMS beginning on January 1, 2022, subject to enforcement via civil money penalties.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The effects of these efforts remain uncertain pending the outcomes of several federal lawsuits challenging state authority to regulate prescription drug payment limits. In December 2020, the U.S. Supreme Court held unanimously that federal law does not preempt the states’ ability to regulate PBMs and other members of the healthcare and pharmaceutical supply chain, an important decision that may lead to further and more aggressive efforts by states in this area. In mid-2022, the FTC also launched sweeping investigations into the practices of the PBM industry that could lead to additional federal and state legislative or regulatory proposals targeting such entities’ operations, pharmacy networks, or financial arrangements. In addition, in the last few years, several states have formed prescription drug affordability boards (“PDABs”) with the authority to implement upper payment limits (“UPLs”) on drugs sold in their respective jurisdictions. There are several pending federal lawsuits challenging the authority of states to impose UPLs, however.</w:t>
      </w:r>
    </w:p>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either in the United States or abroad. We expect that additional state and federal healthcare reform measures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adopted in the future, any of which could limit the amounts that federal and state governments will pay for healthcare products and services.</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and developments in international trade by the U.S. and foreign governments could adversely affect our business.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operations and conduct business outside the United States, and we plan to continue to expand these operations. Therefore, we are subject to risks related to operating in foreign countries, which include unfamiliar foreign laws or regulatory requirements or unexpected changes to those laws or requirements; other laws and regulatory requirements to which our business activities abroad are subject, such as the Foreign Corrupt Practices Act and the U.K. Bribery Act; changes in the political or economic condition of a specific country or region, including Russia’s invasion of Ukraine, the conflict in the Middle East, and the potential for a wider European or global conflict; fluctuations in the value of foreign currency versus the U.S. dollar; volatility in inflation and interest rates; our ability to deploy overseas funds in an efficient manner; tariffs, trade protection measures, import or export licensing requirements, trade embargoes, and sanctions (including those administered by the Office of Foreign Assets Control of the U.S. Department of the Treasury), and other trade barriers; global instability from an outbreak of pandemic or contagious disease, difficulties in attracting and retaining qualified personnel; and cultural differences in the conduct of business. For example, given developments related to international trade over the past few years, unexpected changes in tariffs could adversely affect our cost of goods sold and/or the foreign sales of our product candidates. Changes impacting our ability to conduct business outside of the United States, or changes to the regulatory regime applicable to our operations in countries outside of the United States (such as with respect to the approval of our product candidates), may materially and adversely impact our business, prospects, operating results, and financial condition.</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third parties upon whom we depend may be adversely affected by natural disasters and/or local and global health epidemics, and our business, financial condition and results of operations could be adversely affected.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Natural disasters or local and global health epidemics could severely disrupt our operations and have a material adverse effect on our business operations. If a natural disaster, health epidemic, or other event beyond our control occurred that prevented us from using all or a significant portion of our office, manufacturing and/or lab spaces, that damaged critical infrastructure, such as the manufacturing facilities of our third-party contract manufacturers, or that otherwise disrupted operations, it may be difficult for us to continue our business for a substantial period of time. As a clinical-stage company with multiple programs and multiple clinical trials currently underway, any natural disasters and/or local or global health issues could impact the execution of our preclinical studies and clinical trials, and could have a material and adverse effect on our business operations.</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While we have adapted our processes to lessen the potential impact that a natural disaster and/or health epidemic may have on our business, any potential delays or long-term impacts on our business, our clinical trials, healthcare systems or the global economy could be highly uncertain and the disaster recovery and business continuity plans we have in place may prove inadequate. For example, w</w:t>
      </w:r>
      <w:r>
        <w:rPr>
          <w:rFonts w:ascii="Times New Roman" w:cs="Times New Roman" w:eastAsia="Times New Roman" w:hAnsi="Times New Roman"/>
          <w:sz w:val="18"/>
          <w:szCs w:val="18"/>
          <w:color w:val="212529"/>
        </w:rPr>
        <w:t>e rely upon third parties for many aspects of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including the raw materials used to make our product candidates and the conduct of our clinical trials and preclinical studies. </w:t>
      </w:r>
      <w:r>
        <w:rPr>
          <w:rFonts w:ascii="Times New Roman" w:cs="Times New Roman" w:eastAsia="Times New Roman" w:hAnsi="Times New Roman"/>
          <w:sz w:val="18"/>
          <w:szCs w:val="18"/>
          <w:color w:val="000000"/>
        </w:rPr>
        <w:t>While we have built up</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inventory to assist us through uncertain operating environments, our suppliers may be disrupted now or in the future due to a natural disaster and/or health epidemic, which could affect our ability to procure items that are essential for our research and development activities and could cause increases to our costs, inflation, and significant disruptions to our business. These effects, among others, could materially adversely affect our business, financial condition, results of operations, and prospects.</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substantial risk of product liability claims in our business. If we are unable to obtain or maintain sufficient insurance, a product liability claim against us could adversely affect our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potential product liability risks that are inherent in the development, testing, manufacturing and marketing of human therapeutic products. Product liability claims could delay or prevent completion of our clinical development programs. In addition, if any of our collaboration partners face product liability claims, our programs could also be affected and our business could be harmed.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share price. Any insurance we obtain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research, development and manufacturing processes involve the use of hazardous materials.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Our procedures for storing, handling and disposing of these materials are reviewed against the relevant guidelines and laws of the jurisdictions in which our facilities are located on a regular basis. Although we believe that our safety procedures for handling and disposing of these materials sufficiently mitigate the risk of accidental contamination or injury from these materials, the risk cannot be completely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become applicable in the future. We may incur substantial costs to comply with, and substantial fines or penalties if we violate any of, these laws or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depend on collaborations with third parties for the development and commercialization of certain of our product candidates.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depend on third-party collaborators for the development and commercialization of certain of our product candidates. Our potential future collaborators include large and mid-size pharmaceutical companies, regional and national pharmaceutical companies and biotechnology companies. For example, in January 2023, we commenced a collaboration with GSK to research, develop, and commercialize oligonucleotide therapeutics. Collaborations are complex and time-consuming to negotiate and document. We may not be able to negotiate collaborations on a timely basis, on acceptable terms, or at all. We may also be restricted under existing license or collaboration agreements from entering into agreements on certain terms with other potential collaborators. If we are unable to enter into collaborations with respect to a product candidate,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Depending on the type of collaborations we enter into, we may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involving our product candidates may pose the following risks to us:</w:t>
      </w:r>
    </w:p>
    <w:p>
      <w:pPr>
        <w:spacing w:after="0" w:line="117" w:lineRule="exact"/>
        <w:rPr>
          <w:sz w:val="20"/>
          <w:szCs w:val="20"/>
          <w:color w:val="auto"/>
        </w:rPr>
      </w:pPr>
    </w:p>
    <w:p>
      <w:pPr>
        <w:ind w:left="1400" w:hanging="374"/>
        <w:spacing w:after="0"/>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400" w:right="360" w:hanging="374"/>
        <w:spacing w:after="0" w:line="266" w:lineRule="auto"/>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1400" w:right="80" w:hanging="374"/>
        <w:spacing w:after="0" w:line="282" w:lineRule="auto"/>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400" w:right="140" w:hanging="374"/>
        <w:spacing w:after="0" w:line="266" w:lineRule="auto"/>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require us to enter into collaboration agreements that contain exclusivity provisions and/or termination penalties;</w:t>
      </w:r>
    </w:p>
    <w:p>
      <w:pPr>
        <w:spacing w:after="0" w:line="117" w:lineRule="exact"/>
        <w:rPr>
          <w:rFonts w:ascii="Times New Roman" w:cs="Times New Roman" w:eastAsia="Times New Roman" w:hAnsi="Times New Roman"/>
          <w:sz w:val="18"/>
          <w:szCs w:val="18"/>
          <w:color w:val="auto"/>
        </w:rPr>
      </w:pPr>
    </w:p>
    <w:p>
      <w:pPr>
        <w:ind w:left="1400" w:right="100" w:hanging="374"/>
        <w:spacing w:after="0" w:line="282" w:lineRule="auto"/>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 marketing and distribution of such product 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5" w:name="page56"/>
    <w:bookmarkEnd w:id="55"/>
    <w:p>
      <w:pPr>
        <w:ind w:left="1400" w:right="80" w:hanging="374"/>
        <w:spacing w:after="0" w:line="282"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1400" w:right="660" w:hanging="374"/>
        <w:spacing w:after="0" w:line="266"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67" w:lineRule="exact"/>
        <w:rPr>
          <w:rFonts w:ascii="Times New Roman" w:cs="Times New Roman" w:eastAsia="Times New Roman" w:hAnsi="Times New Roman"/>
          <w:sz w:val="18"/>
          <w:szCs w:val="18"/>
          <w:color w:val="auto"/>
        </w:rPr>
      </w:pPr>
    </w:p>
    <w:p>
      <w:pPr>
        <w:ind w:left="1400" w:right="620" w:hanging="374"/>
        <w:spacing w:after="0" w:line="282"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Further, if a present or future collaborator of ours were to be involved in a business combination, the continued pursuit and emphasis on our product development or commercialization program could be delayed, diminished or terminated.</w:t>
      </w:r>
    </w:p>
    <w:p>
      <w:pPr>
        <w:spacing w:after="0" w:line="17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execute our business strategy optimally if we are unable to maintain our existing collaborations or enter into new collaborations with partners that can provide sales, marketing and distribution capabilities and funds for the development and commercialization of our product candidates.</w:t>
      </w:r>
    </w:p>
    <w:p>
      <w:pPr>
        <w:spacing w:after="0" w:line="6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do not currently have any sales and marketing or distribution capabilities. Depending on the collaborations that we enter into, we may expect our collaborators to provide assistance with development, regulatory affairs, marketing, sales and distribution, among other areas. Our future revenues may depend heavily on the success of the efforts of these third parties.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not be successful in our collaborations due to various factors, including our ability to successfully demonstrate proof of mechanism in humans, our ability to demonstrate the safety and efficacy of our specific product candidates, our ability to manufacture or have third parties manufacture our product candidates, the strength of our intellectual property and/or concerns about potential challenges to or limitations of our intellectual property. To the extent we have entered into, or enter into new, collaborations, we may not be able to maintain them if, for example, development or approval of a product candidate is delayed, challenges are raised as to the validity or scope of our intellectual property or sales of an approved drug are lower than we or our collaboration partner expected.</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certain product candidates that we may develop, we may form collaborations to fund all or part of the costs of drug development and commercialization, such as our collaboration with GSK. We may not, however, be able to enter into additional collaborations for certain other programs, and the terms of any collaboration agreement we do secure may not be favorable to us. If we are not successful in our efforts to enter into future collaboration arrangements with respect to one or more of our product candidates, we may not have sufficient funds to develop that or any other product candidate internally, or to bring any product candidates to market. If we do not have sufficient funds to develop and bring our product candidates to market, we will not be able to generate sales revenues from these product candidates, and this will substantially harm our business.</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some aspects of our compound formulation, research, preclinical studies and clinical trials, and those third parties may not perform satisfactorily, including failing to meet deadlines for the completion of such formulation, research or testing.</w:t>
      </w:r>
    </w:p>
    <w:p>
      <w:pPr>
        <w:spacing w:after="0" w:line="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do not independently conduct all aspects of our drug discovery activities, compound formulation research, preclinical studies, or clinical trials of product candidates. We currently rely, and expect to continue to rely, on third parties to conduct some aspects of our research and development, preclinical and clinical studies. 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 preclinical studies that supports our INDs/CTAs is conducted in accordance with GLP requirements and, likewise, that our clinical trials are conducted in accordance with GCP requirements, the study plan and protocol for each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IND/CTA submissions and will not be able to, or may be delayed in our efforts to, successfully develop and commercialize such product candidates.</w:t>
      </w:r>
    </w:p>
    <w:p>
      <w:pPr>
        <w:spacing w:after="0" w:line="188" w:lineRule="exact"/>
        <w:rPr>
          <w:sz w:val="20"/>
          <w:szCs w:val="20"/>
          <w:color w:val="auto"/>
        </w:rPr>
      </w:pPr>
    </w:p>
    <w:p>
      <w:pPr>
        <w:ind w:right="3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design, conduct, supervise and monitor our preclinical studies and clinical trials, and if those third parties perform in an unsatisfactory manner, it may harm our business.</w:t>
      </w:r>
    </w:p>
    <w:p>
      <w:pPr>
        <w:spacing w:after="0" w:line="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rely on third party clinical investigators, CROs, clinical data management organizations and consultants to design, conduct, supervise and monitor preclinical studies and clinical trials of our product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our own, including our inability to control whether sufficient resources are applied to our programs. If any of our CROs are acquired or consolidated, these concerns are likely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60"/>
        <w:spacing w:after="0" w:line="258" w:lineRule="auto"/>
        <w:rPr>
          <w:sz w:val="20"/>
          <w:szCs w:val="20"/>
          <w:color w:val="auto"/>
        </w:rPr>
      </w:pPr>
      <w:r>
        <w:rPr>
          <w:rFonts w:ascii="Times New Roman" w:cs="Times New Roman" w:eastAsia="Times New Roman" w:hAnsi="Times New Roman"/>
          <w:sz w:val="18"/>
          <w:szCs w:val="18"/>
          <w:color w:val="auto"/>
        </w:rPr>
        <w:t>exacerbated and our preclinical studies or clinical trials may be further impacted due to potential integration, streamlining, staffing and logistical changes.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preclinical and clinical development programs could be delayed and otherwise adversely affected. In all events, we are responsible for ensuring that each of our preclinical studies and clinical trials is conducted in accordance with the general investigational plan and protocols for the study or trial. The FDA and other health authorities require clinical trials to be conducted in accordance with GCP,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 and other health authorities may require us to perform additional clinical trials. Our reliance on third parties that we do not control does not relieve us of these responsibilities and requirements. Any such event could adversely affect our business, financial condition, results of operations and prospects.</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 the supply and manufacture of our product candidates for our research, preclinical and clinical activities, and may do the same for commercial supplies of our product candidates.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have built our own internal manufacturing capabilities, we have not yet manufactured our product candidates on a commercial scale and may not be able to do so for any of our product candidates. In addition, we currently rely on third parties in the supply and manufacture of materials for our research, preclinical and clinical activities and may continue to do so for the foreseeable future. We may do the same for the commercial supply of our drug product. We use third parties to perform additional steps in the manufacturing process, such as the filling, finishing and labeling of vials and storage of our product candidates and we expect to do so for the foreseeable future. There can be no assurance that our supply of research, preclinical and clinical development drug candidates and other materials will not be limited, interrupted or restricted or will be of satisfactory quality or continue to be available at acceptable prices. Replacement of any of the third parties we may engage 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product candidates. Furthermore, with the increase of companies developing oligonucleotides, there may be increased competition for the supply of the raw materials that are necessary to make our oligonucleotides, which could severely impact the manufacturing of our product candidates.</w:t>
      </w:r>
    </w:p>
    <w:p>
      <w:pPr>
        <w:spacing w:after="0" w:line="8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in order to comply with regulatory standards. In the event that any of our suppliers or manufacturers fail to comply with such requirements or to perform their obligations to us in relation to quality, timing or otherwise, some of which may be out of their or our control, or if our supply of components or other materials becomes limited or interrupted for other reasons, we may be forced to increase the manufacturing of the materials ourselves, for which we currently have limited capabilities and resources, or enter into an agreement with another third party, which we may not be able to do on reasonable terms, if at all. Any interruption of the development or manufacturing of our product candidates, such as order delays for equipment or materials, equipment malfunction,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product candidates or materials.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In complying with the manufacturing regulations of the FDA and other comparable foreign regulatory authorities, we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spacing w:after="0" w:line="252" w:lineRule="auto"/>
        <w:rPr>
          <w:sz w:val="20"/>
          <w:szCs w:val="20"/>
          <w:color w:val="auto"/>
        </w:rPr>
      </w:pPr>
      <w:r>
        <w:rPr>
          <w:rFonts w:ascii="Times New Roman" w:cs="Times New Roman" w:eastAsia="Times New Roman" w:hAnsi="Times New Roman"/>
          <w:sz w:val="18"/>
          <w:szCs w:val="18"/>
          <w:color w:val="auto"/>
        </w:rPr>
        <w:t>our third-party manufacturers must spend significant time, money, and effort in the areas of design and development, testing, production, record-keeping and quality control to assure that the products meet applicable specifications and other regulatory requirements. Although our agreements with third-party manufacturers require them to perform according to certain cGMP requirements such as those relating to quality control, quality assurance and qualified personnel, we cannot otherwise control the conduct of our third-party manufacturers to implement and maintain these standards. If any of our third-party manufacturers cannot successfully manufacture material that conforms to our specifications and the regulatory requirements of the FDA, or other comparable foreign authorities, we would be prevented from obtaining regulatory approval for our drug candidates unless and until we engage a substitute supplier that can comply with such requirements, which we may not be able to do on commercially reasonable terms or at all. In addition, we and our third-party manufacturers responsible for the manufacture of commercial supplies of our products for which we retain regulatory approval, if any, are subject to inspection and approval by regulatory authorities before we may commence the manufacture and sale of any of such products, and thereafter are subject to ongoing inspection from time to time. Our third-party manufacturers may not be able to comply with applicable cGMP regulations or similar regulatory requirements outside of the United States. Our failure, or the failure of our third-party manufacturers,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supplies of our products. Any such failure by us or any of our suppliers would significantly impact our ability to develop, obtain regulatory approval for or market our drug candidates, if approved.</w:t>
      </w:r>
    </w:p>
    <w:p>
      <w:pPr>
        <w:spacing w:after="0" w:line="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may also be required to enter into long-term manufacturing agreements that contain exclusivity provisions and/or substantial termination penalties which could have a material adverse effect on our business prior to or after commercialization of any of our product candidates. If we are unable to obtain or maintain third-party manufacturing for product candidates, or to do so on commercially reasonable terms, we may not be able to develop and commercialize our product candidates successfully. Failure to execute on our manufacturing requirements, either by us or by one of our third-party vendors, could adversely affect our business in a number of ways, including:</w:t>
      </w:r>
    </w:p>
    <w:p>
      <w:pPr>
        <w:spacing w:after="0" w:line="75" w:lineRule="exact"/>
        <w:rPr>
          <w:sz w:val="20"/>
          <w:szCs w:val="20"/>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inspections by regulatory authorities;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2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If any of our product candidates is approved, we will need to develop internal sales, marketing and distribution capabilities to commercialize such products, which would be expensive and time-consuming, or rely on or enter into additional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may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would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Operations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key management and scientists, staff, consultants and advisors, our ability to implement our business plan may be adversely affected.</w:t>
      </w:r>
    </w:p>
    <w:p>
      <w:pPr>
        <w:spacing w:after="0" w:line="5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In addition, we expect that we will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8" w:name="page59"/>
    <w:bookmarkEnd w:id="58"/>
    <w:p>
      <w:pPr>
        <w:spacing w:after="0" w:line="252" w:lineRule="auto"/>
        <w:rPr>
          <w:sz w:val="20"/>
          <w:szCs w:val="20"/>
          <w:color w:val="auto"/>
        </w:rPr>
      </w:pPr>
      <w:r>
        <w:rPr>
          <w:rFonts w:ascii="Times New Roman" w:cs="Times New Roman" w:eastAsia="Times New Roman" w:hAnsi="Times New Roman"/>
          <w:sz w:val="18"/>
          <w:szCs w:val="18"/>
          <w:color w:val="auto"/>
        </w:rPr>
        <w:t>to have an increased need to recruit and hire qualified personnel as we advance our programs and expand operations. Failure to successfully recruit and retain personnel could impact our anticipated development plans and timelines. We are dependent on the continued service of our technical personnel because of the highly technical and novel nature of our product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and we cannot assure you that we will be able to identify or employ qualified personnel for any such position on acceptable terms, if at all. Many of the biotechnology and pharmaceutical companies with whom we compete for qualified personnel have greater financial and other resources, different risk profiles and longer histories in the industry than we do.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In order to do so, we may need to pay higher compensation or fees to our employees or consultants than we currently expect, and such higher compensation payments may have a negative effect on our operating results. We face increased competition for personnel from other companies, universities, public and private research institutions, government entities and other organizations. If we are unable to attract and retain qualified personnel, the rate and success at which we may be able to discover and develop our product candidates and implement our business plan will be limited.</w:t>
      </w:r>
    </w:p>
    <w:p>
      <w:pPr>
        <w:spacing w:after="0" w:line="1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continue our preclinical studies and clinical trials and advance to further clinical development, we may experience difficulties in managing our growth and expanding our operations.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Although we have assembled a team of employees with experience developing medicines and obtaining regulatory approval to market those medicines, we have limited experience as a company in drug development. We are a clinical-stage biotechnology company focused on unlocking the broad potential of RNA medicines to transform human health. Our pipeline is focused on our obesity, AATD and PNPLA3 I148M liver disease programs, and also includes clinical programs for DMD and HD, as well as several preclinical programs utilizing our versatile RNA medicines platform. As we advance product candidates through preclinical studies and clinical trials, we will need to expand our development, regulatory and manufacturing capabilities or contract with other organizations to provide these capabilities for us. In addition, we must manage our relationships with collaborators or partners, suppliers and other organizations, including our collaboration with GSK.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In addition, our future growth may require significant capital expenditures and may divert financial resources from other projects, such as the development of our product candidates. If we are unable to effectively manage our future growth, our expenses may increase and our ability to generate revenue could be reduced.</w:t>
      </w:r>
    </w:p>
    <w:p>
      <w:pPr>
        <w:spacing w:after="0" w:line="18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collaborators may engage in misconduct or other improper activities, including noncompliance with regulatory standards and requirements.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and other misconduct by our employees, consultants and collaborators. Such misconduct could include intentional failures to comply with FDA and other foreign agency regulations, provide accurate information to the FDA, comply with manufacturing standards required by the FDA or us,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cybersecurity threats, misuse of AI tools, loss of data and other disruptions could compromise sensitive information related to our business, prevent us from accessing critical information or expose us to liability, which could adversely affect our business and our reputation.</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our CROs and other third parties, including our managed service providers (“MSPs”), on which we rely collect and store sensitive data, including legally protected patient health information, personally identifiable information about our employees, intellectual property, vendor information, and proprietary business information. We, along with our MSPs, manage and maintain our applications and data utilizing cloud-based and on-site systems. These applications and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encompass a wide variety of business-critical information, including research and development information and business and financial information.</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by us, or our CROs and other third-party partners, is vital to our operations and business strategy. We also have systems in place at our facilities to mitigate disruptions to our communications systems, including the prevention of a loss to our electrical systems. Although we are proactive in our approach and take measures to protect sensitive information from unauthorized access or disclosure, our information technology and infrastructure, or that of our CROs or other third party partners, may be vulnerable to attacks by hackers, viruses, breaches, interruptions due to employee error, malfeasance or other disruptions, lapses in compliance with privacy and security mandates, or damage from natural disasters, terrorism, war and telecommunication and electrical failures. We continue to monitor, investigate and address potential incidents as they arise. In addition, cyberattacks, malicious internet-based activity and fraud are prevalent and continue to increase in frequency. Any such event, including a cyberattack, could compromise our networks, or that of our CROs or other third parties, and the information stored there could be accessed by unauthorized parties, publicly disclosed, lost or stolen. Furthermore, any such event could subject us to liability, negatively impact our business operations, or result in information theft, data corruption, operational disruption, damage to our reputation, or financial loss.</w:t>
      </w:r>
    </w:p>
    <w:p>
      <w:pPr>
        <w:spacing w:after="0" w:line="8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part of our robust data protection practices, we regularly conduct business continuity and disaster recovery testing of our key information systems and data. We have measures in place that are designed to detect and respond to such security incidents and breaches of privacy and security mandates. Any such access, disclosure or other loss of information could result in legal claims or proceedings, liability under laws that protect the privacy of personal information (including but not limited to GDPR, HIPAA and HITECH), government enforcement actions and regulatory penalties. Unauthorized access, loss or dissemination could also adversely affect our business, damage our reputation, and disrupt our operations, including our ability to conduct research and development activities, process and prepare company financial information, and manage various general and administrative aspects of our business. For example, the loss of intellectual property or clinical trial data from completed or ongoing or planned clinical trials, in addition to privacy concerns, could result in delays in our regulatory approval efforts and significantly increase our costs to recover or reproduce the data. In addition, while we take measures to help ensure early detection, there can be no assurance that we, or our CROs and other third party partners, will promptly detect any such disruption or security breach, if at all. To the extent that any disruption or security breach were to result in a loss of or damage to our data or applications, or inappropriate disclosure of personal, confidential or proprietary information, we could incur liability and the further development of our product candidates could be delayed.</w:t>
      </w:r>
    </w:p>
    <w:p>
      <w:pPr>
        <w:spacing w:after="0" w:line="8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Artificial Intelligence (“AI”) is increasingly being used within many different industries. While we have developed policies governing the use of AI to encourage appropriate use of AI by our employees, contractors, and other third-parties, any failure to adhere to such policies that we may establish could violate confidentiality obligations or applicable laws and regulations, jeopardize our intellectual property rights, or result in the misuse of personally identifiable information or the injection of malware into our systems, any of which could have a material adverse effect on our business.</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Numerous federal, state and international laws address privacy, data protection and the collection, storing, sharing, use, disclosure and protection of personally identifiable information and other user data, including in the context of the development and deployment of AI technologies. In the United States, </w:t>
      </w:r>
      <w:r>
        <w:rPr>
          <w:rFonts w:ascii="Times New Roman" w:cs="Times New Roman" w:eastAsia="Times New Roman" w:hAnsi="Times New Roman"/>
          <w:sz w:val="17"/>
          <w:szCs w:val="17"/>
          <w:color w:val="auto"/>
        </w:rPr>
        <w:t>many</w:t>
      </w:r>
      <w:r>
        <w:rPr>
          <w:rFonts w:ascii="Times New Roman" w:cs="Times New Roman" w:eastAsia="Times New Roman" w:hAnsi="Times New Roman"/>
          <w:sz w:val="18"/>
          <w:szCs w:val="18"/>
          <w:color w:val="auto"/>
        </w:rPr>
        <w:t xml:space="preserve"> states have already implemented state laws addressing privacy or are set to enact data protection legislation. In addition, several states have enacted privacy laws to specifically regulate consumer health data that is not subject to HIPAA.</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the patchwork of state and federal U.S. privacy laws expands, enforcement of data privacy and cybersecurity breaches has increased, along with the cost (for example, the Federal Trade Commission increased enforcement of cybersecurity and data privacy, and related fines in 2025).</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Outside the United States, personally identifiable information and other user data is increasingly subject to legislation and regulations in numerous jurisdictions around the world, the intent of which is to protect the privacy of information that is collected, processed and transmitted in or from the governing jurisdiction. Foreign data protection, privacy, information security, user protection and other laws and regulations are often more restrictive than those in the United States. For example, the General Data Protection Regulation (“GDPR”) adopted by the European legislative bodies applies to any company, regardless of location, that collects or processes personal data of EU residents in connection with offering goods or services in the European Union or monitoring the behavior of EU residents. The GDPR enhances data protection obligations for processors and controllers of personal data, including, for example, expanded disclosures about how personal information is to be used, limitations on retention of information, data minimization obligations, record-keeping requirements, mandatory data breach notification requirements, and correlated obligations on services providers. The GDPR also strictly regulates cross-border transfer of personal data, including requirements for data transfer impact assessments. Non-compliance with the GDPR may result in monetary penalties of up to €20 million or 4% of annual worldwide revenue, whichever is higher. Additionally, post-Brexit the United Kingdom has also adopted its own version of the GDPR.</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we have taken steps to comply with all applicable privacy laws and regulations, including the GDPR, by taking measures including but not limited to enhancing our security procedures, updating our website, revising our clinical trial informed consents, adopting the standard contractual clauses for cross-border transfers of personal data, increasing our cyber insurance, developing policies governing the use of AI, and entering into data processing agreements with relevant CROs and third party partners, we cannot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t>completely assure you that our efforts to remain in compliance will be fully successful. The GDPR and other changes in laws or regulations associated with the enhanced protection of personal data may increase our costs of compliance and result in greater legal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rates may adversely affect our results.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 the results of our operations or our cash flows.</w:t>
      </w:r>
    </w:p>
    <w:p>
      <w:pPr>
        <w:spacing w:after="0" w:line="6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changes in foreign currency exchange rates did not have a material impact on our historical financial position, our business, our financial condition, the results of our operations or our cash flows. A hypothetical 10% change in foreign currency rates would not have a material impact on our historical financial position or results of operations. However, there can be no assurance that changes in foreign currency exchange rates will not have a material adverse impact on us in the future.</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tax legislation and future changes to applicable U.S. or foreign tax laws and regulations may have a material adverse effect on our business, financial condition and results of operations.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and foreign jurisdictions. Changes in laws and policy relating to taxes or trade, including increases in tax rates or modifications, technical corrections or clarifications to tax laws, such as the One Big Beautiful Bill Act of 2025 (“OBBBA”), which contained several pieces of tax legislation, some of which made permanent, and some of which reversed, certain of the significant U.S. tax law changes originally enacted in 2017 (under the legislation informally titled the Tax Cuts and Jobs Act). For example, the OBBBA reinstated immediate expensing of certain research and experimental research expenses incurred in tax years beginning after December 31, 2024 if incurred in the United States, though the requirement to amortize non-U.S. research and experimental expenses over 15 years remains unchanged. Any future changes may have an adverse effect on our business, financial condition and results of operations. This Annual Report on Form 10-K does not discuss any such tax legislation or changes to tax laws and legislation, or the manner in which it might affect us or purchasers of our securities. We urge our investors to consult with their legal and tax advisors with respect to such legislation and the potential tax consequences of investing in our securities.</w:t>
      </w:r>
    </w:p>
    <w:p>
      <w:pPr>
        <w:spacing w:after="0" w:line="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also subject to different tax regulations in each of the jurisdictions where we conduct our business or where our management is located. We expect the scope and extent of regulation in the jurisdictions in which we conduct our business, or where our management is located, as well as regulatory oversight and supervision, to generally continue to increase. Generally, future changes in applicable U.S. or foreign tax laws and regulations, or their interpretation and application could have an adverse effect on our business, financial condition and results of operations.</w:t>
      </w:r>
    </w:p>
    <w:p>
      <w:pPr>
        <w:spacing w:after="0" w:line="17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or a work slowdown or stoppage at those agencies as part of a broader federal government shutdown,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Future legislative and regulatory proposals may impact the ability of regulatory agencies to operate as they have historically operated. We cannot be sure whether additional legislative changes or executive orders will be enacted, or whether any of the regulations, guidances or interpretations of any such agencies will be changed, or what the impact of such changes, if any, may be.</w:t>
      </w:r>
    </w:p>
    <w:p>
      <w:pPr>
        <w:spacing w:after="0" w:line="6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disruptions at the FDA and other agencies may also extend the time necessary for new drugs to be reviewed and/or approved by necessary government agencies, which would adversely affect our business. For example, political disputes in Congress may result in a shutdown of the U.S. government, and in such cases certain regulatory agencies, such as the FDA and the SEC, would have to furlough employees and stop critical activities during that period. Moreover, government shutdowns or slowdowns can increase the time needed for an agency to complete its review or make final approvals or other administrative decisions. If a prolonged government shutdown or slowdown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enforce market exclusivity for our technologies or product candidates, development and commercialization of our product candidates may be adversely affected.</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our industry, the majority of an innovative product’s commercial value is usually realized during the period in which it has market exclusivity. Market exclusivity is comprised of both patent and other intellectual property protection, as well as regulatory exclusivity. In the United States and some other countries, when market exclusivity expires and generic versions of a product are approved and marketed, there usually are very substantial and rapid declines in the product’s sales. Accordingly, our success depends in part on our ability to obtain and maintain patents and other forms of intellectual property rights, including trademarks, trade secrets and in-licenses of intellectual property rights of others, for our product candidates and platform technologies, methods used to manufacture our product candidates, methods of patient stratification and methods for treating patients using our product candidates, as well as our ability to preserve our trade secrets, to prevent third parties from infringing upon our proprietary rights and to operate without infringing upon the proprietary rights of others. Certain research and development activities involved in pharmaceutical development are exempt from patent infringement in the United States and other jurisdictions, for example, in the United States by the provisions of 35 U.S.C. § 271(e)(1) (the “Safe Harbor”). However, in the United States and certain other jurisdictions, the Safe Harbor exemption terminates when the sponsor submits an application for marketing approval (e.g., a NDA) in the United States). Therefore, the risk that a third party might allege patent infringement may increase as our products approach commercialization. We may not be able to apply for patents or obtain patent protection on certain aspects of our product candidates or our platform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our platform technologies, or any methods relating to them, or to provide meaningful protection from our competitors. Moreover, the patent position of biotechnology and pharmaceutical companies can be highly uncertain and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impact our position in the market.</w:t>
      </w:r>
    </w:p>
    <w:p>
      <w:pPr>
        <w:spacing w:after="0" w:line="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Legal issues related to the patentability of biopharmaceuticals, and methods of their manufacture and use, are complex and uncertain in some countries. In some countries, applicants are not able to protect methods of treating human beings or medical treatment processes. Intellectual property protection varies throughout the world and is subject to change over time. Certain jurisdictions have enacted various rules and laws precluding issuance of patents encompassing any methods a doctor may practice on a human being or any other animal to treat a disease or condition. Further, many countries have enacted laws and regulatory regimes that do not allow patent protection for methods of use of known compounds. Particularly given that some of our product candidates may represent stereopure versions of previously described oligonucleotides, it may be difficult or impossible to obtain patent protection for them in relevant jurisdictions. Thus, in some countries and jurisdictions, it may not be possible to patent some of our product candidates at all. In some countries and jurisdictions, only composition claims may be obtained, and only when those compositions are or contain compounds that are new and/or novel. Also, patents issued with composition claims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covering product candidates) cannot always be enforced to protect methods of using those compositions to treat or diagnose diseases or medical conditions. In such countries or jurisdictions, enforcement of patents to protect our product candidates, or their uses, may be difficult or impossible. Lack of patent protection in such cases may have a materially adverse effect on our business and financial condition.</w:t>
      </w:r>
    </w:p>
    <w:p>
      <w:pPr>
        <w:spacing w:after="0" w:line="8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Furthermore, given the amount of time required for the development, testing and regulatory review of new product candidates, patents protecting such candidates, their manufacture or their use might expire before or shortly after those candidates receive regulatory approval and are commercialized. As a result, our owned and licensed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w:t>
      </w:r>
    </w:p>
    <w:p>
      <w:pPr>
        <w:spacing w:after="0" w:line="6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prosecution process. There are situations in which noncompliance can result in abandonment or lapse of a patent or patent application, or loss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2" w:name="page63"/>
    <w:bookmarkEnd w:id="62"/>
    <w:p>
      <w:pPr>
        <w:ind w:right="160"/>
        <w:spacing w:after="0" w:line="258" w:lineRule="auto"/>
        <w:rPr>
          <w:sz w:val="20"/>
          <w:szCs w:val="20"/>
          <w:color w:val="auto"/>
        </w:rPr>
      </w:pPr>
      <w:r>
        <w:rPr>
          <w:rFonts w:ascii="Times New Roman" w:cs="Times New Roman" w:eastAsia="Times New Roman" w:hAnsi="Times New Roman"/>
          <w:sz w:val="18"/>
          <w:szCs w:val="18"/>
          <w:color w:val="auto"/>
        </w:rPr>
        <w:t>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proprietary products and technologies. While we will endeavor to try to protect our product candidates and platform technology with intellectual property rights such as patents, as appropriate, the process of filing and prosecuting patent applications, and obtaining, maintaining and defending patents is time-consuming, expensive, uncertain, and sometimes unpredictable.</w:t>
      </w:r>
    </w:p>
    <w:p>
      <w:pPr>
        <w:spacing w:after="0" w:line="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In addition, periodic changes to the patent laws and rules of patent offices around the world, including the USPTO can have a significant impact on our ability to protect our technology and enforce our intellectual property rights. For example, the America Invents Act, enacted in 2011, involved significant changes in patent legislation. Furthermore, the U.S. Supreme Court has ruled on several patent cases in recent years, some of which cases either narrow the scope of patent protection available in certain circumstances or weaken the rights of patent owners in certain situations. The 2013 decision by the U.S. Supreme Court in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xml:space="preserve"> precludes a claim to a nucleic acid having a stated nucleotide sequence which is identical to a sequence found in nature and unmodified. We currently are not aware of an immediate impact of this decision on our patents or patent applications because we are developing oligonucleotides which contain modifications that we believe are not found in nature. However, we cannot make assurances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and by analogous bodies around the world, the laws and regulations governing patents could change in unpredictable ways that would weaken our ability to obtain new patents or to enforce our existing patents and patents that we might obtain in the future. For example, in 2012, European countries and the European Parliament agreed to a legislative package that would create a unitary patent protection system in the EU; aspects of this system were implemented beginning in 2023 for at least some European countries. The impact of the proposed unitary patent protection system on patents in Europe is currently unclear.</w:t>
      </w:r>
    </w:p>
    <w:p>
      <w:pPr>
        <w:spacing w:after="0" w:line="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Once granted, patents may remain open to opposition, interference,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attacked or may lose the allowed or granted claims altogether. In addition, there can be no assurance that:</w:t>
      </w:r>
    </w:p>
    <w:p>
      <w:pPr>
        <w:spacing w:after="0" w:line="74" w:lineRule="exact"/>
        <w:rPr>
          <w:sz w:val="20"/>
          <w:szCs w:val="20"/>
          <w:color w:val="auto"/>
        </w:rPr>
      </w:pPr>
    </w:p>
    <w:p>
      <w:pPr>
        <w:ind w:left="1400" w:right="120" w:hanging="374"/>
        <w:spacing w:after="0" w:line="282"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1400" w:right="140" w:hanging="374"/>
        <w:spacing w:after="0" w:line="282"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collaborators or any future collaborators are the first to make the inventions covered by each of our issued patents and pending patent applications that we own or license.</w:t>
      </w:r>
    </w:p>
    <w:p>
      <w:pPr>
        <w:spacing w:after="0" w:line="53" w:lineRule="exact"/>
        <w:rPr>
          <w:rFonts w:ascii="Times New Roman" w:cs="Times New Roman" w:eastAsia="Times New Roman" w:hAnsi="Times New Roman"/>
          <w:sz w:val="18"/>
          <w:szCs w:val="18"/>
          <w:color w:val="auto"/>
        </w:rPr>
      </w:pPr>
    </w:p>
    <w:p>
      <w:pPr>
        <w:ind w:left="1400" w:right="440" w:hanging="374"/>
        <w:spacing w:after="0" w:line="282"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collaborators or any future collaborators are the first to file patent applications covering certain aspects of our inventions.</w:t>
      </w:r>
    </w:p>
    <w:p>
      <w:pPr>
        <w:spacing w:after="0" w:line="53" w:lineRule="exact"/>
        <w:rPr>
          <w:rFonts w:ascii="Times New Roman" w:cs="Times New Roman" w:eastAsia="Times New Roman" w:hAnsi="Times New Roman"/>
          <w:sz w:val="18"/>
          <w:szCs w:val="18"/>
          <w:color w:val="auto"/>
        </w:rPr>
      </w:pPr>
    </w:p>
    <w:p>
      <w:pPr>
        <w:ind w:left="1400" w:right="280" w:hanging="374"/>
        <w:spacing w:after="0" w:line="282"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400" w:right="160" w:hanging="374"/>
        <w:spacing w:after="0" w:line="282"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invalidate, circumvent or weaken our patents, or that, if any of these events should occur, that a court would hold that our patents are valid, enforceable and infringed.</w:t>
      </w:r>
    </w:p>
    <w:p>
      <w:pPr>
        <w:spacing w:after="0" w:line="53" w:lineRule="exact"/>
        <w:rPr>
          <w:rFonts w:ascii="Times New Roman" w:cs="Times New Roman" w:eastAsia="Times New Roman" w:hAnsi="Times New Roman"/>
          <w:sz w:val="18"/>
          <w:szCs w:val="18"/>
          <w:color w:val="auto"/>
        </w:rPr>
      </w:pPr>
    </w:p>
    <w:p>
      <w:pPr>
        <w:ind w:left="1400" w:right="860" w:hanging="374"/>
        <w:spacing w:after="0" w:line="282"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advantages, or will not be challenged, invalidated, circumvented or weakened by third parties.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an adverse effect on our business.</w:t>
      </w:r>
    </w:p>
    <w:p>
      <w:pPr>
        <w:spacing w:after="0" w:line="117" w:lineRule="exact"/>
        <w:rPr>
          <w:rFonts w:ascii="Times New Roman" w:cs="Times New Roman" w:eastAsia="Times New Roman" w:hAnsi="Times New Roman"/>
          <w:sz w:val="18"/>
          <w:szCs w:val="18"/>
          <w:color w:val="auto"/>
        </w:rPr>
      </w:pPr>
    </w:p>
    <w:p>
      <w:pPr>
        <w:ind w:left="1400" w:right="280" w:hanging="374"/>
        <w:spacing w:after="0" w:line="282"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license patent rights from third-party owners or licensees. If such owners or licensees do not properly or successfully obtain, maintain or enforce the patents underlying such licenses, or if they retain or license to others any competing rights, our competitive position and business prospects may be adversely affected.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license patent rights from third parties that we may use from time to time to protect certain aspects of our technology and programs. We may license additional third-party intellectual property in the future. To the extent that we use, and ultimately rely on, in-licensed technologies in our platform and our programs, our success will depend in part on the ability of our licensors to obtain, maintain and enforce patent protection for those in-licensed technologies. Our licensors may not successfully prosecute the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3" w:name="page64"/>
    <w:bookmarkEnd w:id="63"/>
    <w:p>
      <w:pPr>
        <w:ind w:right="20"/>
        <w:spacing w:after="0" w:line="255" w:lineRule="auto"/>
        <w:rPr>
          <w:sz w:val="20"/>
          <w:szCs w:val="20"/>
          <w:color w:val="auto"/>
        </w:rPr>
      </w:pPr>
      <w:r>
        <w:rPr>
          <w:rFonts w:ascii="Times New Roman" w:cs="Times New Roman" w:eastAsia="Times New Roman" w:hAnsi="Times New Roman"/>
          <w:sz w:val="18"/>
          <w:szCs w:val="18"/>
          <w:color w:val="auto"/>
        </w:rPr>
        <w:t>applications licensed to us. Even if patents issue or are granted, our licensors may fail to maintain these patents, may determine not to pursue litigation against other companies that are infringing these patents, or may pursue litigation less aggressively than we would. Further, we may not obtain exclusive rights, which would allow for third parties to develop competing products. Without protection for, or exclusive right to, the intellectual property we license, other companies might be able to offer substantially identical products for sale, which could adversely affect our competitive business position and harm our business prospects. In addition, we may sublicense our rights under our third-party licenses to current or future collaborators or any future strategic partners. Any impairment of these sublicensed rights could result in reduced revenue under any future collaboration agreements we may enter into or result in termination of an agreement by one or more of our current or future collaborators or any future strategic partners.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5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Nucleic acid therapeutics is a relatively new scientific field, the commercial exploitation of which has resulted in many different patents and patent applications from organizations and individuals seeking to obtain patent protection in the field. We have obtained grants and issuances of patents in this field. The issued patents and pending patent applications in the United States and in key markets around the world that we own or license claim certain methods, compositions and processes relating to the discovery, development, manufacture and/or commercialization of oligonucleotides and/or our platform.</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the field of oligonucleotides matures, patent applications are being processed by national patent offices around the world. There is uncertainty about which patents will issue, and, if they do, as to when, to whom, and with what claims. It is likely that there will be significant litigation in the courts and other proceedings, such as interference, reexamination and opposition proceedings, in various patent offices relating to patent rights in the oligonucleotides field. In many cases, the possibility of appeal or opposition exists for either us or our opponents, and it may be years before final, unappealable rulings are made with respect to these patents in certain jurisdictions. The timing and outcome of these and other proceedings is uncertain and may adversely affect our business, particularly if we are not successful in defending the patentability and scope of our pending and issued patent claims or if third parties are successful in obtaining claims that cover any of our product candidates or our platform. In addition, third parties may attempt to invalidate our intellectual property rights. Even if our rights are not directly challenged, invalidated or circumvented, disputes could lead to the weakening of our intellectual property rights. Our defense against any attempt by third parties to challenge, invalidate, circumvent or weaken our intellectual property rights could be costly to us, could require significant time and attention of our management and could adversely affect our business and our ability to successfully compete in the field of oligonucleotides.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generally file a provisional patent application first (a priority filing) at the USPTO. A Patent Cooperation Treaty (“PCT”) application is usually filed within 12 months after the priority filing. Regional and/or national patent applications may be pursued outside of the United States, either based on a PCT application or as a direct filing, in some cases claiming priority to a prior U.S. or PCT filing. Some of our cases have been filed in multiple jurisdictions, including major market jurisdictions. We also commonly enter the national stage in the United States through a PCT filing.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different scopes of patent protection may be granted on the same product or technology.</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United States,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allowing competitors to manufacture and sell their own versions of our product, thereby reducing our sales.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20"/>
        <w:spacing w:after="0" w:line="261" w:lineRule="auto"/>
        <w:rPr>
          <w:sz w:val="20"/>
          <w:szCs w:val="20"/>
          <w:color w:val="auto"/>
        </w:rPr>
      </w:pPr>
      <w:r>
        <w:rPr>
          <w:rFonts w:ascii="Times New Roman" w:cs="Times New Roman" w:eastAsia="Times New Roman" w:hAnsi="Times New Roman"/>
          <w:sz w:val="18"/>
          <w:szCs w:val="18"/>
          <w:color w:val="auto"/>
        </w:rPr>
        <w:t>addition, many countries do not permit enforcement of patents, or limit the enforceability of patents against government agencies or government contractors. In these countries, the patent owner may have limited remedies, which could materially diminish the value of such a patent. If we or any of our licensors, collaborators or present or future partners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For example, some jurisdictions may have heightened requirements for patentability compared to others, and may specifically require a detailed description of medical uses of a claimed drug. In some jurisdictions, unlike the United States, there is no link between regulatory approval of a drug and its patent status. Furthermore, generic or biosimilar drug manufacturers or other competitors may challenge the scope, validity or enforceability of our or our licensors’ or collaborators’ patents, requiring us or our licensors or collaborators to engage in complex, lengthy and costly litigation or other proceedings. Generic or biosimilar drug manufacturers may develop, seek approval for, and launch generic versions of our products. Accordingly, our and our licensors’ and collaborators’ efforts to enforce intellectual property rights around the world may be inadequate to obtain a significant commercial advantage from the intellectual property that we own or license.</w:t>
      </w:r>
    </w:p>
    <w:p>
      <w:pPr>
        <w:spacing w:after="0" w:line="185"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collaborators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and time consuming, or delay or prevent the development and commercialization of our product candidates, or put our patents and other proprietary rights at risk.</w:t>
      </w:r>
    </w:p>
    <w:p>
      <w:pPr>
        <w:spacing w:after="0" w:line="7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or our licensors, collaborators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collaborators or any future strategic partners are found to infringe a third-party patent or other intellectual property rights, we could be required to pay damages, potentially including treble damages, if we are found to have willfully infringed. In addition, we or our licensors, collaborators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 or any future collaborator,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products or our technology,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for example, lack of novelty, lack of written disclosure, obviousness, or non-enablement. Grounds for an unenforceability assertion could be an allegation that someone connected with prosecution of the patent withheld relevant information from the USPTO, or made a misleading statement, during prosecution. The outcome following legal allegations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w:t>
      </w:r>
    </w:p>
    <w:p>
      <w:pPr>
        <w:spacing w:after="0" w:line="188"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Because the oligonucleotide intellectual property landscape is still evolving and our product candidates have not yet reached commercialization, it is difficult to conclusively assess our freedom to operate. There are numerous companies that have pending patent applications and issued patents directed to certain aspects of oligonucleotides. We are aware of third-party competitors in the oligonucleotide therapeutics space, whose patent filings and/or issued patents may include claims directed to targets and/or products related to some of our programs. It is possible that at the time that we commercialize our products these third-party patent portfolios may include issued patent claims that cover our products or critical features of their production or use. Our competitive position may suffer if patents issued to third parties or other third-party intellectual property rights cover, or may be alleged to cover,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right="280"/>
        <w:spacing w:after="0" w:line="266" w:lineRule="auto"/>
        <w:rPr>
          <w:sz w:val="20"/>
          <w:szCs w:val="20"/>
          <w:color w:val="auto"/>
        </w:rPr>
      </w:pPr>
      <w:r>
        <w:rPr>
          <w:rFonts w:ascii="Times New Roman" w:cs="Times New Roman" w:eastAsia="Times New Roman" w:hAnsi="Times New Roman"/>
          <w:sz w:val="18"/>
          <w:szCs w:val="18"/>
          <w:color w:val="auto"/>
        </w:rPr>
        <w:t>or elements thereof, or methods of manufacture or use relevant to our development plans. In such cases, we may not be in a position to develop or commercialize product candidates unless we successfully pursue litigation to nullify or invalidate the third party intellectual property right concerned or enter into a license agreement with the intellectual property right holder, if available on commercially reasonable terms.</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date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3"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under any license, collaboration or other agreement, we may be required to pay damages and could lose intellectual property rights that are necessary for developing and protecting our product candidates, or we could lose certain rights to grant sublicenses.</w:t>
      </w:r>
    </w:p>
    <w:p>
      <w:pPr>
        <w:spacing w:after="0" w:line="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are many issued patents and/or pending patent applications that claim aspects of oligonucleotide compositions, chemistry and/or modifications that we may want or need to apply to our product candidates. There are also many issued patents and/or pending patent applications that claim targeted genes or portions of genes that may be relevant for the oligonucleotides we wish to develop. We are aware of third-party competitors in the oligonucleotide therapeutics space whose patent filings and/or issued patents may include claims directed to targets and/or product candidates related to some of our development programs. It is possible that these third-party patent portfolios may include issued patent claims that cover our product candidates or critical features of their production or use. Thus, it is possible that one or more organizations will hold patent rights to which we will need or want a license. If those organizations refuse to grant us a license to such patent rights on reasonable terms, or at all, we may not be able to market products or perform research and development or other activities covered by these patents.</w:t>
      </w:r>
    </w:p>
    <w:p>
      <w:pPr>
        <w:spacing w:after="0" w:line="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technology licenses and any future licenses we enter into are likely to impose various development, commercialization, funding, milestone, royalty, diligence, sublicensing, insurance, patent prosecution and enforcement, and/or other obligations on us. If we breach any of these imposed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improvements and technological innovation important to the maintenance of our competitive position. We protect trade secrets and confidential and unpatented know-how, improvements and technological innovation,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6" w:name="page67"/>
    <w:bookmarkEnd w:id="66"/>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5"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Our trademarks or trade names may be infringed, challenged, invalidated, circumvented, weakened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Being a Singapore Company</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Singapore incorporated company and it may be difficult to enforce a judgment of U.S. courts for civil liabilities under U.S. federal securities laws against us, our directors or our officers in Singapore.</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Republic of Singapore, and certain of our directors are residents outside the United States. Moreover, a significant portion of our consolidated assets are located outside the United States. Although we are incorporated outside the United States, we have agreed to accept service of process in the United States through our agent designated for that purpose. Nevertheless, because a majority of the consolidated assets owned by us are located outside the United States, any judgment obtained in the United States against us may not be enforceable within the United States.</w:t>
      </w:r>
    </w:p>
    <w:p>
      <w:pPr>
        <w:spacing w:after="0" w:line="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There is uncertainty as to whether judgments of courts in the United States based upon the civil liability provisions of the federal securities laws of the United States would be recognized or enforceable in Singapore. In addition, holders of book-entry interests in our shares will be required to be registered shareholders as reflected in our shareholder register in order to have standing to bring a shareholder action in the United States and, if successful, to enforce a foreign judgment against us, our directors or our executive officers in the Singapore courts. The administrative process of becoming a registered holder could result in delays prejudicial to any legal proceedings or enforcement action. Consequently, it may be difficult for investors to enforce against us, our directors or our officers in Singapore judgments obtained in the United States which are predicated upon the civil liability provisions of the federal securities laws of the United States.</w:t>
      </w:r>
    </w:p>
    <w:p>
      <w:pPr>
        <w:spacing w:after="0" w:line="1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incorporated in Singapore and our shareholders may have more difficulty in protecting their interests than they would as shareholders of a corporation incorporated in the United States.</w:t>
      </w:r>
    </w:p>
    <w:p>
      <w:pPr>
        <w:spacing w:after="0" w:line="5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corporate affairs are governed by our constitution and by the laws governing corporations incorporated in Singapore. The rights of our shareholders and the responsibilities of the members of our Board of Directors (“Board”) under Singapore law are different from those applicable to a corporation incorporated in the United States. Principal shareholders of Singapore companies do not owe fiduciary duties to minority shareholders, as compared, for example, to controlling shareholders in corporations incorporated in Delaware. Our public shareholders may have more difficulty in protecting their interests in connection with actions taken by our management, members of our Board or our principal shareholders than they would as shareholders of a corporation incorporated in the United States.</w:t>
      </w:r>
    </w:p>
    <w:p>
      <w:pPr>
        <w:spacing w:after="0" w:line="7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only persons who are registered as shareholders in our shareholder register are recognized under Singapore law as shareholders of our company. Only registered shareholders have legal standing to institute shareholder actions against us or otherwise seek to enforce their rights as shareholders. Investors in our shares who are not specifically registered as shareholders in our shareholder register (for example, where such shareholders hold shares indirectly through the Depository Trust Company) are required to become registered as shareholders in our shareholder register in order to institute or enforce any legal proceedings or claims against us, our directors or our executive officers relating to shareholder rights. Holders of book-entry interests in our shares may become registered shareholders by exchanging their book-entry interests in our shares for certificated shares and being registered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shareholder register. Such process could result in administrative delays which may be prejudicial to any legal proceeding or enforcement 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laws of Singapore, which differ in certain material respects from the laws of the United States.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a company incorporated under the laws of the Republic of Singapore, we are required to comply with the laws of Singapore, certain of which are capable of extra-territorial application, as well as our constitution. In particular, we are required to comply with certain provisions of the Securities and Futures Act 2001 of Singapore (the “SFA”), which prohibit certain forms of market conduct and require certain information disclosures, and impose criminal and civil penalties on corporations, directors and officers in respect of any breach of such provisions. We are required to comply with the Singapore Code on Take-Overs and Mergers (the “Singapore Takeover Code”), which specifies, among other things, certain circumstances in which a general offer is to be made upon a change in effective control, and further specifies the manner and price at which voluntary and mandatory general offers are to be made.</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also subject to Section 34 of the Singapore Patents Act, which provides that a person residing in Singapore is required to obtain written authorization from the Singapore Registrar of Patents (the “Registrar”) before filing an application for a patent for an invention outside of Singapore, unless certain conditions have been satisfied. A violation of Section 34 is a criminal offense punishable by a fine not exceeding S$5,000, or imprisonment for a term not exceeding two years, or both. There have been some instances where we have undertaken filings outside of Singapore, and there may be instances where we are required to make such filings in the future, without first obtaining written authorization from the Registrar. We have notified the Registrar of such filings and we have since implemented measures to address the requirements of Section 34 moving forward. To date, the Registrar has offered a compound of some of the offences considered against payment of a sum of S$50 to S$150 per considered case. Under Singapore law, the Registrar has discretion to offer a compound of such offences against payment of a sum of money of up to S$2,500, or to prosecute the offence subject to the other penalties noted above. Per requests in the Registrar’s most recent decision, we have submitted approximately 140 patent applications in multiple patent families, most of which are related to previously reported applications, to the Intellectual Property Office of Singapore (“IPOS”). The IPOS may consider the filing of some or all of these applications to have breached Section 34 requirements per IPOS’ current interpretation of Section 34, and we are waiting for IPOS’ decision on these applications. We cannot assure you that the Registrar will offer to compound any such violations of Section 34, or that any offer to compound will be for an amount similar to previous compound offers.</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laws of Singapore and of the United States differ in certain significant respects. The rights of our shareholders and the obligations of our directors and officers under Singapore law (including under the Companies Act 1967 of Singapore (the “Singapore Companies Act”) are different from those applicable to a company incorporated in the State of Delaware in material respects, and our shareholders may have more difficulty and less clarity in protecting their interests in connection with actions taken by our management, members of our Board or our affiliated shareholders than would otherwise apply to a company incorporated in the State of Delaware.</w:t>
      </w:r>
    </w:p>
    <w:p>
      <w:pPr>
        <w:spacing w:after="0" w:line="7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The application of Singapore law, in particular, the Singapore Companies Act may, in certain circumstances, impose more restrictions on us and our shareholders, directors and officers than would otherwise be applicable to a company incorporated in the State of Delaware. For example, the Singapore Companies Act requires directors to act with a reasonable degree of diligence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carrying the right of voting in general meetings may require the convening of an extraordinary general meeting of shareholders by our directors. If our directors fail to comply with such request within 21 days of the receipt thereof, the original requisitioning shareholders, or any of them holding more than 50% of the voting rights represented by the original requisitioning shareholders, may proceed to convene such meeting, and we will be liable for the reasonable expenses incurred by such requisitioning shareholders. We are also required by the Singapore Companies Act to deduct such corresponding amounts from fees or other remuneration payable by us to such non-complying directors.</w:t>
      </w:r>
    </w:p>
    <w:p>
      <w:pPr>
        <w:spacing w:after="0" w:line="16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Singapore Takeover Code, which requires a person acquiring 30% or more of our voting shares to conduct a takeover offer for all of our voting shares. This could have the effect of discouraging, delaying or preventing a merger or acquisition and limit the market price of our ordinary shares.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 to the Singapore Takeover Code. The Singapore Takeover Code contains provisions that may delay, deter or prevent a future takeover or change in control of our company and limit the market price of our ordinary shares for so long as we remain a public company with more than 50 shareholders and net tangible assets of S$5 million (Singapore dollars) or more. For example, under the Singapore Takeover Code, any person acquiring, whether by a series of transactions over a period of time or not, either on its own or together with parties acting in concert with it, 30% or more of our voting shares, or if such person holds, either on its own or together with parties acting in concert with it, between 30% and 50% (both inclusive) of our voting shares, and if such person (or parties acting in concert with it) acquires additional voting shares representing more than 1% of our voting shares in any six-month period, must, except with the consent of Securities Industry Council in Singapore, extend a takeover offer for our remaining voting shares in accordance with the Singapore Takeover Code. Therefore, any investor seeking to acquire a significant stake in our company may be deterred from doing so if, as a result, such investor would be required to conduct a takeover offer for all of our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right="200"/>
        <w:spacing w:after="0" w:line="266" w:lineRule="auto"/>
        <w:rPr>
          <w:sz w:val="20"/>
          <w:szCs w:val="20"/>
          <w:color w:val="auto"/>
        </w:rPr>
      </w:pPr>
      <w:r>
        <w:rPr>
          <w:rFonts w:ascii="Times New Roman" w:cs="Times New Roman" w:eastAsia="Times New Roman" w:hAnsi="Times New Roman"/>
          <w:sz w:val="18"/>
          <w:szCs w:val="18"/>
          <w:color w:val="auto"/>
        </w:rPr>
        <w:t>These same provisions could discourage potential investors from acquiring a stake or making a significant investment in our company and may substantially impede the ability of our shareholders to benefit from a change of effective control and, as a result, may adversely affect the market price of our ordinary shares and the ability to realize any benefits from a potential change of control.</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May 5, 2025, the Securities Industry Council ("SIC") published a consultation paper seeking feedback on proposed amendments to the Singapore Takeover Code (the consultation exercise, the "Consultation"). The Consultation had closed on June 5, 2025. As at the date of this Annual Report on Form 10-K, the SIC has not published the conclusions of the Consultation, nor provided any indication as to when the conclusions of the Consultation would be available. Accordingly, please note that there may be further amendments to the provisions of the Singapore Takeover Code after the date of this Annual Report on Form 10-K. Investors and/or shareholders should consult their own legal advisers and obtain specific legal advice in respect of their rights under the Singapore Takeover Code.</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 a limited period of time, our directors have general authority to allot and issue new ordinary shares on terms and conditions and for such purposes as may be determined by our Board in its sole discretion.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Singapore law, we may only allot and issue new shares with the prior approval of our shareholders in a general meeting. At our most recent annual general meeting of shareholders, our shareholders provided our directors with a general authority, subject to the provisions of the Singapore Companies Act and our constitution, to allot and issue any number of new ordinary shares and/or make or grant offers, agreements, options or other instruments (including the grant of awards or options pursuant to our equity-based incentive plans and agreements in effect from time to time) that might or would require ordinary shares to be allotted and issued (collectively, the “Instruments”); and unless revoked or varied by us in a general meeting, such authority will continue in force until the earlier of (i) the conclusion of our next annual general meeting of shareholders, or (ii) the expiration of the period within which our next annual general meeting of shareholders is required by law to be held. Subject to the general requirements of the Singapore Companies Act and our constitution, the general authority given to our directors by our shareholders to allot and issue ordinary shares and/or make or grant the Instruments may be exercised by our directors on such terms and conditions, for such purposes and for consideration as they may in their sole discretion deem fit, and with such rights or restrictions as they may think fit to impose and as are set forth in our constitution. Any additional issuances of new ordinary shares and/or any grant of the Instruments by our directors may dilute our shareholders’ interests in our ordinary shares and/or adversely impact the market price of our ordinary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or become a passive foreign investment company, which could result in adverse U.S. federal income tax consequences to U.S. Holders.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rules governing passive foreign investment companies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which must be made annually after the close of each taxable year, depends on the particular facts and circumstances (such as the valuation of our assets, including goodwill and other intangible assets) and may also be affected by the application of the PFIC rules, which are subject to differing interpretations. The fair market value of our assets is expected to relate, in part, to (a) the market price of our ordinary shares and (b) the composition of our income and assets, which will be affected by how, and how quickly, we spend any cash that is raised in any financing transaction. Moreover, our ability to earn specific types of income that we currently treat as non-passive for purposes of the PFIC rules is uncertain with respect to future years. Based on our gross income, the average value of our assets, including goodwill and the nature of our active business, we do not expect to be treated as a PFIC for U.S. federal income tax purposes for the taxable year ended December 31, 2025. Because the value of our assets for purposes of determining PFIC status will depend in part on the market price of our ordinary shares, which may fluctuate significantly, there can be no assurance that we will not be considered a PFIC for our current taxable year ending December 31, 2026 or for any future taxable year.</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we are a PFIC, a U.S. Holder (defined below)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A U.S. Holder may in certain circumstances mitigate adverse tax consequences of the PFIC rules by filing an election to treat the PFIC as a qualified electing fund (“QEF”) or, if shares of the PFIC are “marketable stock” for purposes of the PFIC rules, by making a mark-to-market election with respect to the shares of the PFIC. If a U.S. Holder makes a mark-to-market election with respect to its ordinary shares, the U.S. Holder is required to include annually in its U.S. federal taxable income an amount reflecting any year end increase in the value of its ordinary shares. For purposes of this discussion, a “U.S. Holder” is a beneficial owner of ordinary shares that is for U.S. federal income tax purposes: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(a) if a court within the United States can exercise primary supervision over its administration, and one or more U.S. persons have the authority to control all of the substantial decisions of that trust, or (b) that was in existence on August 20, 1996, and validly elected under applicable Treasury Regulations to continue to be treated as a domestic trust.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should consult their own tax advisors regarding all aspects of the application of the PFIC rules to the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 taxes may differ from the tax laws of other jurisdictions.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Prospective investors should consult their tax advisors concerning the overall tax consequences of purchasing, owning and disposing of our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tax law may differ from the tax laws of other jurisdictions, including the 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unanticipated tax liabilities.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Singapore. Under Singapore tax law, from January 1, 2024, subject to certain exceptions, gains from the sale or disposal by an entity without adequate economic substance and belonging to a relevant group of entities, of any movable or immovable property situated outside Singapore and that are received in Singapore from outside Singapore, are treated as income chargeable to tax. We are also subject to income, withholding or other taxes in certain jurisdictions by reason of our activities and operations, and it is also possible that tax authorities in any such jurisdictions could assert that we are subject to greater taxation than we currently anticipate.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Singaporean and non-Singaporean tax liability could materially adversely affect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authorities could challenge the allocation of income and deductions among our subsidiaries, which could increase our overall tax liability.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organized in Singapore, and we currently have subsidiaries in the United States, Japan, the United Kingdom, and Ireland. As we grow our business, we conduct, and expect to continue to conduct, increased operations through our subsidiaries in various jurisdictions. If two or more affiliated companies are located in different jurisdictions, the tax laws or regulations of each country generally will require transactions between those affiliated companies to be conducted on terms consistent with those between unrelated companies dealing at arms’ length, and appropriate documentation generally must be maintained to support the transfer prices. We maintain our transfer pricing policies to be compliant with applicable transfer pricing laws, but our transfer pricing procedures are not binding on applicable tax authorities.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tax authorities were to successfully challenge our transfer pricing, there could be an increase in our overall tax liability, which could adversely affect our financial condition, results of operations and cash flows. In addition, the tax laws in the jurisdictions in which we operate are subject to differing interpretations. Tax authorities may challenge our tax positions, and if successful, such challenges could increase our overall tax liability. In addition, the tax laws in the jurisdictions in which we operate are subject to change. We cannot predict the timing or content of such potential changes, and such changes could increase our overall tax liability, which could adversely affect our financial condition, results of operations and cash flows.</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reflect the effect of certain tax credits and the operation of certain tax regimes within the United Kingdom. Recent changes to the U.K. research and development tax credit regime will reduce the amount of tax credits we can claim and impose new limitations, which could impact our financial condition, results of operations and cash flows.</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company carrying out extensive research and development activities, we have historically benefited from the U.K. research and development tax credit regime. For accounting periods that began prior to April 1, 2024, our subsidiary in the United Kingdom qualified under the Small and Medium-sized Enterprise (“SME”) R&amp;D tax credit regime, which allowed us to surrender our U.K. subsidiary’s trading losses from qualifying research and development activities for a payable tax credit of generally up to 18.6% of such expenditures. Expenditures of staff supplied by unconnected third parties incurred were eligible for a payable tax credit of generally up to 12.1%. Our payable tax credit amounts were historically capped at an amount that was equal to three times our “pay as you earn” (or PAYE) and U.K. national insurance tax liabilities.</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Effective for accounting periods beginning on or after April 1, 2024, the U.K. Finance Act 2024 combined the previous SME regime and the large-company R&amp;D credit regime (known as the “RDEC” regime) into one unified R&amp;D tax credit regime. Under this merged R&amp;D credit regime, all companies (regardless of size) may claim a tax credit equal to 20% of qualifying research and development expenditures, with a net benefit of up to 16.2% after tax.</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changing the credit rates, the U.K. legislation tightened the rules on eligible R&amp;D expenditures, which may further limit the amount of credit we can claim. For accounting periods beginning on or after April 1, 2024, R&amp;D credit claims are subject to new restrictions on costs related to overseas subcontracted R&amp;D work and externally provided R&amp;D workers. To be eligible for the tax credit, any subcontracted R&amp;D activities generally must be performed in the United Kingdom. R&amp;D activities or workers outside the United Kingdom are largely excluded from creditable expenditures, unless they fall within an exception. These new rules mean that certain R&amp;D costs we incur overseas may no longer qualify for U.K. tax credits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market for our ordinary shares may not be liquid enough for our shareholders to sell their ordinary shares quickly or at market price, or at all.</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ordinary shares are currently listed for trading on the Nasdaq Global Market. There is no assurance that the trading market for our shares will be or remain active. Our shareholders may not be able to sell their ordinary shares quickly or at the market price, or at all. Our executive officers, our directors and their respective affiliates, and our other significant shareholders beneficially own a significant portion of our outstanding ordinary shares, and therefore, liquidity in our ordinary shares is limited. Due to the limited liquidity in our ordinary shares, relatively small orders can have a disproportionate impact on the trading price of our shares. Further, the limited liquidity in our ordinary shares may also impair our ability to raise capital by conducting offerings of our ordinary shares and may impair our ability to enter into strategic partnerships or acquire companies or products by using our ordinary shares as consideration.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is likely to be highly volatile, and our shareholders may lose some or all of their investment.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market price of our ordinary shares is likely to continue to be highly volatile, including in response to factors that are beyond our control. The stock market in general experiences extreme price and volume fluctuations. In particular, the market prices of securities of pharmaceutical and biotechnology companies are extremely volatile, and experience fluctuations that are often unrelated or disproportionate to the operating performance of these companies. These broad and sector-specific market fluctuations can result in extreme fluctuations in the price of our ordinary shares, regardless of our operating performance, and can cause our shareholders to lose some or all of their investment in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issued pre-funded warrants in certain of our financings, which may cause additional dilution to our shareholders.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several of our financings beginning in June 2022, we issued and sold ordinary shares and, in some instances, in lieu of additional ordinary shares, pre-funded warrants (the “Pre-Funded Warrants”) to purchase ordinary shares at an exercise price of $0.0001 per share. The Pre-Funded Warrants contain a so-called “blocker” provision which provides that they are only exercisable upon receipt of shareholder approval or if such exercise would not cause the aggregate number of ordinary shares or the combined voting power of total securities, in each case, beneficially owned by the holder (together with its affiliates) to exceed, depending on the terms of the applicable Pre-Funded Warrants and in certain cases at the election of the holder, either 4.99%, 9.99% or 19.99% of the number of ordinary shares or total securities, respectively, outstanding immediately after giving effect to the exercise. To the extent the Pre-Funded Warrants are exercised, additional ordinary shares will be issued and such issuance would dilute existing shareholders and increase the number of shares eligible for resale in the public market.</w:t>
      </w:r>
    </w:p>
    <w:p>
      <w:pPr>
        <w:spacing w:after="0" w:line="1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Based on information publicly available to us as of December 31, 2025, our executive officers, our directors and their respective affiliates, and our other significant shareholders beneficially own a significant portion of our outstanding ordinary shares. As a result, these shareholders, if acting together, will continue to have significant influence over the outcome of corporate actions requiring shareholder approval, including the election of directors, any merger, consolidation or sale of all or substantially all of our assets and any other significant corporate transaction. The interests of these shareholders may not be the same as or may even conflict with the interests of our other shareholders. For example, these shareholders could delay or prevent a change of control of our company, even if such a change of control would benefit our other shareholders, which could deprive shareholders of an opportunity to receive a premium for their ordinary shares as part of a sale of our company or our assets and might affect the prevailing market price of our ordinary shares. The significant concentration of share ownership may adversely affect the trading price of our ordinary shares due to investors’ perception that conflicts of interest may exist or arise.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due to operating as a public company, and our management is required to devote substantial time to compliance initiatives.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We are subject to the reporting and other requirements of the Exchange Act, the Sarbanes-Oxley Act of 2002 (the “Sarbanes-Oxley Act”), and the Dodd-Frank Wall Street Reform and Protection Act, as well as rules subsequently adopted by the SEC and the Nasdaq Stock Market. These rules and regulations require, among other things, that we file annual, quarterly and current reports with respect to our business and financial condition and establish and maintain effective disclosure and financial controls and corporate governance practices. We expect that compliance with these rules and regulations will continue to result in substantial legal and financial compliance costs and will make some activities more time-consuming and costly. Our management and other personnel devote a substantial amount of time to these compliance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1" w:name="page72"/>
    <w:bookmarkEnd w:id="71"/>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and timely financial statements could be impaired, which could harm our operating results, our ability to operate our business and investors’ views of us.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required to comply with Section 404 of the Sarbanes-Oxley Act. Section 404 of the Sarbanes-Oxley Act requires public companies to maintain effective internal control over financial reporting. In particular, we must perform system and process evaluation and testing of our internal control over financial reporting to allow management to report on the effectiveness of our internal control over financial reporting. Ensuring that we have adequate internal financial and accounting controls and procedures in place so that we can produce accurate financial statements on a timely basis is a costly and time-consuming effort that is evaluated frequently. If we fail to maintain the effectiveness of our internal controls or fail to comply in a timely manner with the requirements of the Sarbanes-Oxley Act, or if we identify deficiencies in our internal control over financial reporting that are deemed to be material weaknesses, this could have a material adverse effect on our business. We could lose investor confidence in the accuracy and completeness of our financial reports, which could have an adverse effect on the price of our ordinary shares and we could be subject to sanctions or investigations by Nasdaq, the SEC or other regulatory authorities, which would require additional financial and management resources. In addition, if our efforts to comply with new or changed laws, regulations, and standards differ from the activities intended by regulatory or governing bodies due to ambiguities related to practice, regulatory authorities may initiate legal proceedings against us and our business may be harmed.</w:t>
      </w:r>
    </w:p>
    <w:p>
      <w:pPr>
        <w:spacing w:after="0" w:line="8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ability to successfully implement our business plan and comply with Section 404 of the Sarbanes-Oxley Act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independent registered public accounting firm as required under Section 404 of the Sarbanes-Oxley Act. This, in turn, could have an adverse impact on trading prices for our ordinary shares, and could adversely affect our ability to access the capital markets.</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Although we determined that our internal controls over financing reporting were effective as of December 31, 2025, we may in the future identify internal control deficiencies that could rise to the level of a material weakness or uncover other errors in financial reporting. During the course of our evaluation of these material weaknesses, we may identify areas requiring improvement and may be required to design additional enhanced processes and controls to address issues identified through this review.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w:t>
      </w:r>
    </w:p>
    <w:p>
      <w:pPr>
        <w:spacing w:after="0" w:line="18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and judgments we make, or the assumptions on which we rely, in preparing our consolidated financial statements could prove inaccurate.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(“U.S.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however, that our estimates, or the assumptions underlying them, will not change over time or otherwise prove inaccurate. For example, our estimates as they relate to anticipated timelines and milestones for our clinical trials or preclinical development may prove to be inaccurate. If this is the case, we may be required to restate our consolidated financial statements, which could, in turn, subject us to securities class action litigation. Defending against such potential litigation relating to a restatement of our consolidated financial statements or otherwise would be expensive and would require significant attention and resources of our management. Moreover, our insurance to cover our obligations with respect to the ultimate resolution of any such litigation may be inadequate. As a result of these factors, any such potential litigation could have a material adverse effect on our financial results, harm our business, and cause our share price to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ordinary shares in the foreseeable future.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currently intend to retain all of our future earnings, if any, to finance the growth and development of our business, and we do not anticipate paying any cash dividends on our ordinary shares in the foreseeable future. In addition, the terms of any future debt agreements may preclude us from paying dividends. As a result, capital appreciation, if any, of our ordinary shares will be our shareholders’ sole source of gain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from class action litigation due to share volatility.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share price may fluctuate for many reasons, including as a result of public announcements regarding the progress of our development efforts or the development efforts of our collaborators and/or competitors, the addition or departure of our key personnel, variations in our quarterly operating results and changes in market valuations of pharmaceutical and biotechnology companies. Holders of stock that has experienced significant price and trading volatility have occasionally brought securities class action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2" w:name="page73"/>
    <w:bookmarkEnd w:id="72"/>
    <w:p>
      <w:pPr>
        <w:ind w:right="220"/>
        <w:spacing w:after="0" w:line="266" w:lineRule="auto"/>
        <w:rPr>
          <w:sz w:val="20"/>
          <w:szCs w:val="20"/>
          <w:color w:val="auto"/>
        </w:rPr>
      </w:pPr>
      <w:r>
        <w:rPr>
          <w:rFonts w:ascii="Times New Roman" w:cs="Times New Roman" w:eastAsia="Times New Roman" w:hAnsi="Times New Roman"/>
          <w:sz w:val="18"/>
          <w:szCs w:val="18"/>
          <w:color w:val="auto"/>
        </w:rPr>
        <w:t>against the companies that issued the stock. If any of our shareholders were to bring a lawsuit of this type against us, even if the lawsuit is without merit, we could incur substantial costs defending the lawsuit. The lawsuit could also divert the time and attention of our management, which could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additional ordinary shares could cause the price of our ordinary shares to decline.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Sales of substantial amounts of our ordinary shares in the public market, or the availability of such shares for sale, by us or others, including the issuance of ordinary shares upon exercise of outstanding options or Pre-Funded Warrants or vesting of outstanding restricted share units, or the perception that such sales could occur, could adversely affect the price of our ordinary shares. Certain of our shareholders have required us, or have the right to require us, to register the sales of their shares under the Securities Act under agreements between us and such shareholders. For example, in August 2019, we filed a registration statement on Form S-3, which was declared effective on August 14, 2019, to register the resale from time to time by certain of our executive officers, directors and their affiliates of up to approximately 7.1 million ordinary shares.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may depend in part on the research and reports that securities or industry analysts publish about us or our business. If too few securities or industry analysts cover our company, the trading price for our ordinary shares would likely be negatively impacted. If one or more of the analysts who cover us downgrade our ordinary shares or publish inaccurate or unfavorable research about our business, our share price would likely decline. If one or more of these analysts cease coverage of our company or fail to publish reports on us regularly, demand for our ordinary shares could decrease, which might cause our share price and trading volume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importance of maintaining the trust and confidence of the patients we serve, our business partners, employees and our shareholders and are committed to protecting the confidentiality, integrity and reliance of our business operations and systems. Effective data protection practices, including responsible stewardship of our intellectual property and the secure processing, storage, maintenance and transmission of critical information by us and other third parties with whom we do business is vital to our operations.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practices, policies, and standards are based on recognized frameworks established by the National Institute of Standards and Technology (“NIST”) (NIST SP 800-53), the Center for Internet Security (“CIS”), along with adopting best practices from Control Objectives for Information and Related Technologies (“COBIT”) and other applicable industry standards.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if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face risks related to cybersecurity, such as unauthorized access, cybersecurity attacks and other security incidents, which could adversely affect our business and operations. To identify and assess material risks from cybersecurity threats, we maintain a robust cybersecurity program to ensure our systems are effective and prepared for information security risks and have integrated these processes into our overall risk management systems and processes. We also identify our cybersecurity threat risks by comparing our processes to standards set by NIST, CIS, and COBIT, as well as by engaging experts to attempt to infiltrate our information systems. We consider risks from cybersecurity threats alongside other company risks as part of our overall risk assessment process. We employ a range of tools, services and capabilities, including regular network and endpoint monitoring, audits, vulnerability assessments, penetration testing, threat modeling, disaster recovery and business continuity planning activities, red team testing, mandatory training for our employees, and tabletop exercises to inform our risk identification and assessment.</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including our vendors, CROs, suppliers and/or manufacturers who may have access to patient and employee data or our systems. We perform diligence on third parties that have access to our systems, data or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continuously through third-party risk management tools.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above processes, we regularly engage with consultants and other third parties, including a bi-annual review of our cybersecurity program by an independent Qualified Security Assessor.</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last three fiscal years, we have not experienced any material cybersecurity incidents and the expenses we have incurred from cybersecurity incidents were immaterial. 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Times New Roman" w:cs="Times New Roman" w:eastAsia="Times New Roman" w:hAnsi="Times New Roman"/>
          <w:sz w:val="18"/>
          <w:szCs w:val="18"/>
          <w:i w:val="1"/>
          <w:iCs w:val="1"/>
          <w:color w:val="auto"/>
        </w:rPr>
        <w:t>Security breaches, cybersecurity threats, loss of data and other disruptions could compromise sensitive information related to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prevent us from accessing critical information or expose us to liability, which could adversely affect our business and our reputation</w:t>
      </w:r>
      <w:r>
        <w:rPr>
          <w:rFonts w:ascii="Times New Roman" w:cs="Times New Roman" w:eastAsia="Times New Roman" w:hAnsi="Times New Roman"/>
          <w:sz w:val="18"/>
          <w:szCs w:val="18"/>
          <w:color w:val="auto"/>
        </w:rPr>
        <w:t>,” in Item 1A.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which disclosures are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actively involved in oversight of our risk management activities, and cybersecurity represents an important element of our overall approach to risk management. Our Board delegates to the Audit Committee oversight of certain aspects of our risk management process, including risks related to information technology, data privacy and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4" w:name="page75"/>
    <w:bookmarkEnd w:id="74"/>
    <w:p>
      <w:pPr>
        <w:jc w:val="both"/>
        <w:spacing w:after="0" w:line="258" w:lineRule="auto"/>
        <w:rPr>
          <w:sz w:val="20"/>
          <w:szCs w:val="20"/>
          <w:color w:val="auto"/>
        </w:rPr>
      </w:pPr>
      <w:r>
        <w:rPr>
          <w:rFonts w:ascii="Times New Roman" w:cs="Times New Roman" w:eastAsia="Times New Roman" w:hAnsi="Times New Roman"/>
          <w:sz w:val="18"/>
          <w:szCs w:val="18"/>
          <w:color w:val="auto"/>
        </w:rPr>
        <w:t>At least quarterly, our Audit Committee receives an update from management of our cybersecurity threat risk management and strategy processes, including recent cybersecurity incidents and related responses, cybersecurity testing, activities of third parties, and other similar matters. Our cybersecurity risk management and strategy processes are led by our Data Security Officer, Data Privacy Officer, Chief Financial Officer and General Counsel. Such individuals have collectively over 50 years of prior work experience in various roles involving managing information security, developing cybersecurity strategy, implementing effective information and cybersecurity programs, as well as several relevant degrees and certifications.</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Audit Committee is encouraged to regularly engage in conversations with management on cybersecurity-related news and events and discuss any updates to our cybersecurity risk management and strategy programs. Management is informed about and monitors the prevention, mitigation, detection, and remediation of cybersecurity incidents through their management of, and participation in, the cybersecurity risk management and strategy processes described above, including the operation of our incident response plan. We have processes in place to ensure that our Audit Committee shall receive prompt and timely information regarding any cybersecurity incident that meets establishing reporting thresholds, as well as ongoing updates regarding any such incident until it has been addressed.</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maintain our U.S. corporate offices and research and development facilities in Cambridge, Massachusetts, where we lease office and laboratory space of approximately 44,000 square feet.</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lease approximately 90,000 square feet of office and laboratory space in Lexington, Massachusetts, which we use for our research, development and cGMP manufacturing.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occupy laboratory and office space in Japan. We believe our existing facilities are adequate to meet our current needs.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traded on the Nasdaq Global Market under the symbol “WVE”.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19, 2026, we had 188,254,954 ordinary shares outstanding and approximately seven shareholders of record of our ordinary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Performance Graph</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share performance graph compares our total share return with the total return for (i) the Nasdaq Composite Index and (ii) the Nasdaq Biotechnology Index for the period from December 31, 2020 through December 31, 2025. The figures represented below assume an investment of $100.00 in our ordinary shares at the closing price of $7.870 on December 31, 2020 and in the Nasdaq Composite Index and the Nasdaq Biotechnology Index on December 31, 2020 and the reinvestment of dividends, if any, into ordinary shares. The share return shown in the share performance graph below is not necessarily indicative of future performance, and we do not make or endorse any predictions as to future share return.</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performance graph is not “soliciting material,” is not deemed filed with the SEC and is not to be incorporated by reference in any filing by us under the Securities Act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123190</wp:posOffset>
            </wp:positionV>
            <wp:extent cx="3463290" cy="28803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6329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currently intend to retain all of our future earnings, if any, to finance the growth and development of our business, and we do not anticipate paying any cash dividends on our ordinary shares in the foreseeable future. In addition, the terms of any future debt agreements may preclude us from paying dividends.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76" w:name="page77"/>
    <w:bookmarkEnd w:id="7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5"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We are a clinical-stage biotechnology company focused on unlocking the broad potential of ribonucleic acid (“RNA”) medicines (also known as oligonucleotides), or those targeting RNA, to transform human health. Our RNA medicines platform, PRISM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combines multiple modalities, chemistry innovation and deep insights into human genetics to deliver scientific breakthroughs that treat both rare and common disorders. Our toolkit of RNA-targeting modalities, including RNAi (SpiNA) and RNA editing (AIMers), provides us with unmatched capabilities for designing and sustainably delivering candidates that optimally address disease biology. Our pipeline is focused on our obesity (WVE-007), alpha-1 antitrypsin deficiency (“AATD”) (WVE-006) and PNPLA3 I148M liver disease (WVE-008) programs, and also includes clinical programs for Duchenne muscular dystrophy (“DMD”) and Huntington’s disease (“HD”), as well as several preclinical programs utilizing our versatile RNA medicines platform.</w:t>
      </w:r>
    </w:p>
    <w:p>
      <w:pPr>
        <w:spacing w:after="0" w:line="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were founded on the recognition that there was a significant, untapped opportunity to use chemistry innovation to tune the pharmacological properties of oligonucleotides. We have more than a decade of experience challenging convention related to oligonucleotide design and pioneering novel chemistry modifications to optimize the pharmacological properties of our molecules. We have seen in clinical trials that these chemistry modifications enhance potency, distribution, and durability of effect of our molecules. Our novel chemistry also allows us to avoid using complex delivery vehicles, such as lipid nanoparticles and viruses, and instead use clinically proven conjugates (</w:t>
      </w:r>
      <w:r>
        <w:rPr>
          <w:rFonts w:ascii="Times New Roman" w:cs="Times New Roman" w:eastAsia="Times New Roman" w:hAnsi="Times New Roman"/>
          <w:sz w:val="18"/>
          <w:szCs w:val="18"/>
          <w:i w:val="1"/>
          <w:iCs w:val="1"/>
          <w:color w:val="auto"/>
        </w:rPr>
        <w:t>e.g., N</w:t>
      </w:r>
      <w:r>
        <w:rPr>
          <w:rFonts w:ascii="Times New Roman" w:cs="Times New Roman" w:eastAsia="Times New Roman" w:hAnsi="Times New Roman"/>
          <w:sz w:val="18"/>
          <w:szCs w:val="18"/>
          <w:color w:val="auto"/>
        </w:rPr>
        <w:t>-acetylgalactosamine or (“GalNAc”)) or free uptake for delivery to a variety of cell and tissue types. We maintain strong and broad intellectual property, including for our novel chemistry modifications.</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best-in-class chemistry capabilities have also unlocked new areas of biology, such as harnessing adenosine deaminases acting on RNA (“ADAR”) enzymes for messenger RNA (“mRNA”) correction and upregulation, selectively silencing a mutant allele, and more. By opening up new areas of biology, we have also opened up new opportunities to slow, stop, or reverse disease and have expanded the possibilities offered through our platform.</w:t>
      </w:r>
    </w:p>
    <w:p>
      <w:pPr>
        <w:spacing w:after="0" w:line="6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The inspiration for our multimodal platform is based on the recognition that the biological machinery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enzymes) needed to address human disease already exists within our cells and can be harnessed for therapeutic purposes with the right tools. We believe that we have built the most versatile toolkit of RNA-targeting modalities in the industry, with multiple means of repairing, restoring, or reducing proteins and designing best-fit solutions based on the unique biology of a given disease target. We are actively advancing programs across modalities, including RNA interference (“RNAi”) (silencing), RNA editing, which uses novel A-to-I RNA editing oligonucleotides (“AIMers”), antisense silencing, and splicing. We have also advanced novel bifunctional modalities designed to silence multiple targets or silence one target while simultaneously editing or upregulating another unique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6172200" cy="2802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intentionally focus on targeting the transcriptome using oligonucleotides rather than other nucleic acid modalities such as gene therapy and DNA editing. This focus enables us to:</w:t>
      </w:r>
    </w:p>
    <w:p>
      <w:pPr>
        <w:spacing w:after="0" w:line="162" w:lineRule="exact"/>
        <w:rPr>
          <w:sz w:val="20"/>
          <w:szCs w:val="20"/>
          <w:color w:val="auto"/>
        </w:rPr>
      </w:pPr>
    </w:p>
    <w:p>
      <w:pPr>
        <w:ind w:left="880" w:right="640" w:hanging="378"/>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diversity of expression across cell types by modulating the many regulatory pathways that impact gene expression, including transcription, endogenous RNAi pathways, splicing, and translation;</w:t>
      </w:r>
    </w:p>
    <w:p>
      <w:pPr>
        <w:spacing w:after="0" w:line="161"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diseases that have historically been difficult to treat with small molecules or biologics;</w:t>
      </w:r>
    </w:p>
    <w:p>
      <w:pPr>
        <w:spacing w:after="0" w:line="225" w:lineRule="exact"/>
        <w:rPr>
          <w:rFonts w:ascii="Times New Roman" w:cs="Times New Roman" w:eastAsia="Times New Roman" w:hAnsi="Times New Roman"/>
          <w:sz w:val="18"/>
          <w:szCs w:val="18"/>
          <w:color w:val="auto"/>
        </w:rPr>
      </w:pPr>
    </w:p>
    <w:p>
      <w:pPr>
        <w:ind w:left="880" w:right="240" w:hanging="378"/>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 variety of tissue types or cell types throughout the body and modulate the frequency of dosing for broad distribution in tissues over time;</w:t>
      </w:r>
    </w:p>
    <w:p>
      <w:pPr>
        <w:spacing w:after="0" w:line="161"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risk of permanent off-target genetic changes and other challenges associated with DNA editing or gene therapy approaches; and</w:t>
      </w:r>
    </w:p>
    <w:p>
      <w:pPr>
        <w:spacing w:after="0" w:line="225"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well-established industry manufacturing processes and regulatory, access, and reimbursement pathways.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currently prioritizing lead programs that use GalNAc delivery for hepatic and metabolic diseases, each of which have potential to translate powerful human genetic insights into potentially transformational RNA medicines:</w:t>
      </w:r>
    </w:p>
    <w:p>
      <w:pPr>
        <w:spacing w:after="0" w:line="162" w:lineRule="exact"/>
        <w:rPr>
          <w:sz w:val="20"/>
          <w:szCs w:val="20"/>
          <w:color w:val="auto"/>
        </w:rPr>
      </w:pPr>
    </w:p>
    <w:p>
      <w:pPr>
        <w:ind w:left="880" w:hanging="378"/>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WVE-007 is a GalNAc-conjugated siRNA (SpiNA design) targeting inhibin βE (“INHBE”) for obesity;</w:t>
      </w:r>
    </w:p>
    <w:p>
      <w:pPr>
        <w:spacing w:after="0" w:line="225"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WVE-006 is a GalNAc-conjugated RNA editing oligonucleotide (AIMer) for AATD;</w:t>
      </w:r>
    </w:p>
    <w:p>
      <w:pPr>
        <w:spacing w:after="0" w:line="225"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WVE-008 is a GalNAc-conjugated RNA editing oligonucleotide (AIMer) for PNPLA3 I148M liver disease.</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clinical-stage portfolio also includes WVE-N531, an exon 53 splicing oligonucleotide for DMD, and WVE-003, an allele-selective oligonucleotide designed to lower mutant huntingtin (“mHTT”) protein and preserve healthy, wild-type huntingtin (“wtHTT”) protein. We are also advancing several emerging siRNA and RNA editing programs targeting both hepatic and extra-hepatic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33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have never been profitable, and since our inception, we have incurred significant operating losses. Our net loss was $204.4 million in 2025, $97.0 million in 2024, and $57.5 million in 2023. As of December 31, 2025 and 2024, we had an accumulated deficit of $1,326.2 million and $1,121.9 million, respectively. We expect to incur significant expenses and operating losses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recognize collaboration revenue under the GSK Collaboration Agreement, which became effective in January 2023, and the Takeda Collaboration Agreement, which became effective in April 2018 and expired in the fourth quarter of 2024, (both of which are defined in Note 5 in the notes to the consolidated financial statements appearing elsewhere in this Annual Report on Form 10-K). We have not generated any product revenue since our inception and do not expect to generate any revenue from the sale of products for the foreseeable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development of our RNA medicines platform, our discovery efforts, and the development of our product candidates, which include:</w:t>
      </w:r>
    </w:p>
    <w:p>
      <w:pPr>
        <w:spacing w:after="0" w:line="54" w:lineRule="exact"/>
        <w:rPr>
          <w:sz w:val="20"/>
          <w:szCs w:val="20"/>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compensation-related expenses, including employee salaries, bonuses, share-based compensation expense and other related benefits expenses for personnel in our research and development organization;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CROs that conduct research, preclinical and clinical activities on our behalf, as well as CMOs that manufacture drug product for use in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related to our internal manufacturing of drug substance for use in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third-party consultants;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supplies and services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including rent, maintenance and other general operating expenses.</w:t>
      </w:r>
    </w:p>
    <w:p>
      <w:pPr>
        <w:spacing w:after="0" w:line="11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recognize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expenses.</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primary research and development focus has been the development of our RNA medicines platform, PRISM. We are using PRISM, which combines multiple modalities, chemistry innovation and deep insights in human genetics, to deliver scientific breakthroughs that treat both rare and common disorders, and advance our pipeline of RNA medicines.</w:t>
      </w:r>
    </w:p>
    <w:p>
      <w:pPr>
        <w:spacing w:after="0" w:line="6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expenses related to our CROs, CMOs, consultants, other external vendors and fees paid to global regulatory agencies to conduct our clinical trials, in addition to compensation-related expenses, internal manufacturing expenses, facility-related expenses and other general operating expenses. These expenses are incurred in connection with research and development efforts and our preclinical studies and clinical trials. We track certain external expenses on a program-by-program basis. However, we do not allocate compensation-related expenses, internal manufacturing expenses, equipment repairs and maintenance expense, facility-related expenses or other operating expenses to specific programs. These expenses, which are not allocated on a program-by-program basis, are included in the “Other research and development expenses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including PNPLA3, additional preclinical programs, PRISM” category along with other external expenses related to our discovery and development programs, as well as platform development and identification of potential drug discovery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0" w:name="page81"/>
    <w:bookmarkEnd w:id="80"/>
    <w:p>
      <w:pPr>
        <w:ind w:right="100"/>
        <w:spacing w:after="0" w:line="258"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to continue to incur significant research and development expenses in the foreseeable future as we continue to manage our existing clinical trials, initiate additional clinical trials for certain product candidates, pursue later stages of clinical development for certain product candidates, maintain our manufacturing capabilities and continue to discover and develop additional product candidates in multiple therapeutic areas.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compensation-related expenses, including salaries, bonuses, share-based compensation and other related benefits costs for personnel in our executive, finance, corporate, legal and administrative functions, as well as compensation-related expenses for our Board. General and administrative expenses also include legal fees; expenses associated with being a public company; professional fees for accounting, auditing, tax and consulting services; insurance costs; travel expenses; other operating costs; and facility-related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income, net is comprised primarily of interest income on cash and cash equivalents and refundable tax credits from tax authorities. We recognize refundable tax credits when there is reasonable assurance that we will comply with the requirements of the refundable tax credit and that the refundable tax credit will be received.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Singapore multi-national company subject to taxation in the United States and various other jurisdictions.</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have recorded a full valuation allowance against our net operating loss carryforwards and federal and state tax credits in all jurisdictions due to uncertainty regarding future taxable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Results of Operations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12529"/>
        </w:rPr>
        <w:t xml:space="preserve">In this section, we discuss the results of our operations for the year ended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12529"/>
        </w:rPr>
        <w:t xml:space="preserve"> compared to the year ended </w:t>
      </w:r>
      <w:r>
        <w:rPr>
          <w:rFonts w:ascii="Times New Roman" w:cs="Times New Roman" w:eastAsia="Times New Roman" w:hAnsi="Times New Roman"/>
          <w:sz w:val="18"/>
          <w:szCs w:val="18"/>
          <w:color w:val="000000"/>
        </w:rPr>
        <w:t>December 31, 2024 and for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year ended December 31, 2024 compared to the year ended December 31, 2023</w:t>
      </w:r>
      <w:r>
        <w:rPr>
          <w:rFonts w:ascii="Times New Roman" w:cs="Times New Roman" w:eastAsia="Times New Roman" w:hAnsi="Times New Roman"/>
          <w:sz w:val="18"/>
          <w:szCs w:val="18"/>
          <w:color w:val="212529"/>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2025 to the Year Ended December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2025 and 2024:</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42,727</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182,779</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159,682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258,110</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218,705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(215,383)</w:t>
            </w: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(110,403)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(204,378)</w:t>
            </w: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(97,008)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(204,378)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(97,008)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-736600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-736600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-736600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-453390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-453390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 for the year ended December 31, 2025 was $42.7 million, and was earned under the GSK Collaboration Agreement. Revenue for the year ended December 31, 2024 was $108.3 million, and was earned under the GSK Collaboration Agreement ($37.0 million) and the Takeda Collaboration Agreement ($71.3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1" w:name="page82"/>
    <w:bookmarkEnd w:id="81"/>
    <w:p>
      <w:pPr>
        <w:ind w:right="40"/>
        <w:spacing w:after="0" w:line="261" w:lineRule="auto"/>
        <w:rPr>
          <w:sz w:val="20"/>
          <w:szCs w:val="20"/>
          <w:color w:val="auto"/>
        </w:rPr>
      </w:pPr>
      <w:r>
        <w:rPr>
          <w:rFonts w:ascii="Times New Roman" w:cs="Times New Roman" w:eastAsia="Times New Roman" w:hAnsi="Times New Roman"/>
          <w:sz w:val="18"/>
          <w:szCs w:val="18"/>
          <w:color w:val="auto"/>
        </w:rPr>
        <w:t>The $65.6 million decrease in revenue year over year was driven by the revenue recognized under the Takeda Collaboration Agreement in 2024, partially offset by the increase in revenue recognized under the GSK Collaboration Agreement. The decrease in the Takeda Collaboration revenue earned year over year was primarily due to the termination of the collaboration agreement in October 2024, which led to the recognition of the remainder of the deferred revenue related to the research and development services, as well as the license related to the HD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for the years ended December 31,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390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5"/>
                <w:szCs w:val="15"/>
                <w:color w:val="auto"/>
              </w:rPr>
            </w:pPr>
          </w:p>
        </w:tc>
        <w:tc>
          <w:tcPr>
            <w:tcW w:w="15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INHBE program</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9,294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6,421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AATD program</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11,666</w:t>
            </w:r>
          </w:p>
        </w:tc>
        <w:tc>
          <w:tcPr>
            <w:tcW w:w="1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(5,952)</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DMD program</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15,536</w:t>
            </w: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3,933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HD program</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11,790</w:t>
            </w:r>
          </w:p>
        </w:tc>
        <w:tc>
          <w:tcPr>
            <w:tcW w:w="1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(9,112)</w:t>
            </w:r>
          </w:p>
        </w:tc>
        <w:tc>
          <w:tcPr>
            <w:tcW w:w="0" w:type="dxa"/>
            <w:vAlign w:val="bottom"/>
          </w:tcPr>
          <w:p>
            <w:pPr>
              <w:spacing w:after="0"/>
              <w:rPr>
                <w:sz w:val="1"/>
                <w:szCs w:val="1"/>
                <w:color w:val="auto"/>
              </w:rPr>
            </w:pPr>
          </w:p>
        </w:tc>
      </w:tr>
      <w:tr>
        <w:trPr>
          <w:trHeight w:val="198"/>
        </w:trPr>
        <w:tc>
          <w:tcPr>
            <w:tcW w:w="5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research and development expenses(1), including PNPLA3,</w:t>
            </w:r>
          </w:p>
        </w:tc>
        <w:tc>
          <w:tcPr>
            <w:tcW w:w="1100" w:type="dxa"/>
            <w:vAlign w:val="bottom"/>
            <w:shd w:val="clear" w:color="auto" w:fill="CFF0FC"/>
          </w:tcPr>
          <w:p>
            <w:pPr>
              <w:spacing w:after="0"/>
              <w:rPr>
                <w:sz w:val="17"/>
                <w:szCs w:val="17"/>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139,203</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111,396</w:t>
            </w:r>
          </w:p>
        </w:tc>
        <w:tc>
          <w:tcPr>
            <w:tcW w:w="220" w:type="dxa"/>
            <w:vAlign w:val="bottom"/>
            <w:vMerge w:val="restart"/>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27,807</w:t>
            </w: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preclinical programs, PRISM</w:t>
            </w:r>
          </w:p>
        </w:tc>
        <w:tc>
          <w:tcPr>
            <w:tcW w:w="1100" w:type="dxa"/>
            <w:vAlign w:val="bottom"/>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182,779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23,097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-170815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8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expenses related to other research and development programs, identification of potential drug discovery candidates, compensation-related expenses, internal manufacturing expenses, equipment repairs and maintenance expense, facility-related expenses, and other operating expenses, which are not allocated to specific programs.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$182.8 million for the year ended December 31, 2025, compared to $159.7 million for the year ended December 31, 2024. The increase of $23.1 million was due to the following:</w:t>
      </w:r>
    </w:p>
    <w:p>
      <w:pPr>
        <w:spacing w:after="0" w:line="270"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$6.4 million in external expenses related to our INHBE program, including WVE-007 (RNAi);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$5.9 million in external expenses related to our AATD program, WVE-006 (RNA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$3.9 million in external expenses related to our DMD program, including WVE-N531 (splicing);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$9.1 million in external expenses related to our HD program, including WVE-003 (silencing); and</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$27.8 million in other research and development expenses, including PNPLA3, additional preclinical programs, PRISM, and internal and external research and development expenses that are not allocated on a program-by-program basis or are related to other discovery and development programs, and the identification of potential drug discovery candidates. This is mainly due to increases in compensation-related expenses and facilities-related expenses, partially offset by decreases in other external research and development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$75.3 million for the year ended December 31, 2025, compared to $59.0 million for the year ended December 31, 2024. The increase of $16.3 million is primarily driven by increases in compensation related expenses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income, net for the years ended December 31, 2025 and 2024 was $11.0 million and $13.4 million, respectively. The decrease of $2.4 million in other income, net was primarily driven by a decrease in estimated refundable tax credits during the year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and 2024, we recorded no income tax benefit or provision.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2024 to the Year Ended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82" w:name="page83"/>
    <w:bookmarkEnd w:id="82"/>
    <w:tbl>
      <w:tblPr>
        <w:tblLayout w:type="fixed"/>
        <w:tblInd w:w="10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4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 w:type="dxa"/>
            <w:vAlign w:val="bottom"/>
          </w:tcPr>
          <w:p>
            <w:pPr>
              <w:spacing w:after="0"/>
              <w:rPr>
                <w:sz w:val="15"/>
                <w:szCs w:val="15"/>
                <w:color w:val="auto"/>
              </w:rPr>
            </w:pPr>
          </w:p>
        </w:tc>
        <w:tc>
          <w:tcPr>
            <w:tcW w:w="14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108,302</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113,305</w:t>
            </w: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159,682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218,705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181,301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(110,403)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(67,996)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(97,008)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(58,190)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(97,008)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(57,513)</w:t>
            </w:r>
          </w:p>
        </w:tc>
        <w:tc>
          <w:tcPr>
            <w:tcW w:w="54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-736600</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-736600</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-736600</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-453390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-453390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-453390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-170815</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-170815</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Revenue for the years ended December 31, 2024 and 2023, was $108.3 million and $113.3 million, respectively, and was earned under the GSK Collaboration Agreement and the Takeda Collaboration Agreement.</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$5.0 million decrease in revenue year over year was driven by the revenue recognized under the GSK Collaboration Agreement, partially offset by the increase in revenue recognized under the Takeda Collaboration Agreement. The $108.3 million in revenue recognized during the year ended December 31, 2024 was comprised of $37.0 million in revenue recognized under the GSK Collaboration Agreement and $71.3 million of revenue recognized under the Takeda Collaboration Agreement. The $113.3 million in revenue recognized during the year ended December 31, 2023 was comprised of $66.3 million in revenue recognized under the GSK Collaboration Agreement and $47.0 million of revenue recognized under the Takeda Collaboration Agreement. The increase in the Takeda Collaboration revenue earned year over year was primarily due to the termination of the collaboration in October 2024, which led to the recognition of the remainder of the deferred revenue related to the research and development services, as well as the license related to the HD program. This was offset by the decrease in the GSK revenue earned year over year primarily related to the AATD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for the years ended December 31,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3280" w:type="dxa"/>
            <w:vAlign w:val="bottom"/>
            <w:tcBorders>
              <w:bottom w:val="single" w:sz="8" w:color="auto"/>
            </w:tcBorders>
            <w:gridSpan w:val="5"/>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60" w:type="dxa"/>
            <w:vAlign w:val="bottom"/>
          </w:tcPr>
          <w:p>
            <w:pPr>
              <w:spacing w:after="0"/>
              <w:rPr>
                <w:sz w:val="15"/>
                <w:szCs w:val="15"/>
                <w:color w:val="auto"/>
              </w:rPr>
            </w:pPr>
          </w:p>
        </w:tc>
        <w:tc>
          <w:tcPr>
            <w:tcW w:w="14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INHBE program</w:t>
            </w:r>
          </w:p>
        </w:tc>
        <w:tc>
          <w:tcPr>
            <w:tcW w:w="90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70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AATD program</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DMD program</w:t>
            </w: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HD program</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198"/>
        </w:trPr>
        <w:tc>
          <w:tcPr>
            <w:tcW w:w="62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research and development expenses(1), including PNPLA3, additional</w:t>
            </w:r>
          </w:p>
        </w:tc>
        <w:tc>
          <w:tcPr>
            <w:tcW w:w="90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111,396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100,433</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programs, PRISM</w:t>
            </w:r>
          </w:p>
        </w:tc>
        <w:tc>
          <w:tcPr>
            <w:tcW w:w="9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0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159,682</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130,009</w:t>
            </w: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-153670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-153670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6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expenses related to other research and development programs, identification of potential drug discovery candidates, compensation-related expenses, internal manufacturing expenses, equipment repairs and maintenance expense, facility-related expenses, and other operating expenses, which are not allocated to specific programs.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$159.7 million for the year ended December 31, 2024, compared to $130.0 million for the year ended December 31, 2023. The increase of $29.7 million was due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3" w:name="page84"/>
    <w:bookmarkEnd w:id="83"/>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$9.1 million in external expenses related to our INHBE program, including WVE-007 (RNAi);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$3.2 million in external expenses related to our AATD program, WVE-006 (RNA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$7.7 million in external expenses related to our DMD program, including WVE-N531 (splicing);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$1.3 million in external expenses related to our HD program, including WVE-003 (silencing);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58"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$11.0 million in other research and development expenses, including PNPLA3, additional preclinical programs, PRISM, and internal and external research and development expenses that are not allocated on a program-by-program basis or are related to other discovery and development programs, and the identification of potential drug discovery candidates. This is mainly due to increases in compensation-related expenses and facilities-related expenses, partially offset by decreases in other external research and development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$59.0 million for the year ended December 31, 2024, compared to $51.3 million for the year ended December 31, 2023. The increase of $7.7 million was primarily driven by increases in compensation related expenses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Other income, net for the years ended December 31, 2024 and 2023 was $13.4 million and $9.8 million, respectively. The increase of $3.6 million in other income, net was primarily driven by an increase in estimated refundable tax credits as well as an increase in interest income during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we recorded no income tax benefit or provision and an income tax benefit of $0.7 million, respectively. The income tax benefit for the year ended December 31, 2023 was due to a change in estimate in connection with U.S. tax guidance relating to the capitalization of research and development expenditures.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Since our inception, we have not generated any product revenue and have incurred recurring net operating losses. To date, we have primarily funded our operations through public and other registered offerings of our ordinary shares and other securities, collaborations with third parties and private placements of debt and equity securities. Through December 31, 2025, we have received an aggregate of approximately $2,076.7 million in net proceeds from these transactions, consisting of $1,450.5 million in net proceeds from public and other registered offerings of our ordinary shares and other securities, $536.9 million from our collaborations and $89.3 million in net proceeds from private placements of our debt and equity securities.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11, 2025, we closed an underwritten public offering (the "December 2025 Offering") in which we issued and sold 18,552,632 of our ordinary shares, including 2,763,157 ordinary shares issued and sold pursuant to the underwriter's exercise in full of their option to purchase additional shares, and pre-funded warrants to purchase up to 2,631,578 of our ordinary shares (the "2025 Pre-Funded Warrants"). The gross proceeds to us from the December 2025 Offering were approximately $402.5 million before deducting underwriting discounts and commissions and other offering expenses, and including gross proceeds from the exercise of the Underwriters' option to purchase the additional shares in full.</w:t>
      </w:r>
    </w:p>
    <w:p>
      <w:pPr>
        <w:spacing w:after="0" w:line="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$602.1 million, restricted cash of $3.8 million and an accumulated deficit of $1,326.2 million.</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be sufficient to fund our operations for at least the next twelve months from the issuance date of these financial statements. We have based this expectation on assumptions that may prove to be incorrect, and we may use our available capital resources sooner than we currently expect. In addition, we may elect to raise additional funds before we need them if the conditions for raising capital are favorable due to market conditions or strategic considerations, even if we expect we have sufficient funds for our current or future operating plans.</w:t>
      </w:r>
    </w:p>
    <w:p>
      <w:pPr>
        <w:spacing w:after="0" w:line="72"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8"/>
          <w:szCs w:val="18"/>
          <w:color w:val="auto"/>
        </w:rPr>
        <w:t>Our operating lease commitments as of December 31, 2025 total $19.5 million, of which $9.6 million is related to payments in 2026 and approximately $9.9 million is related to payments beyond 2026.</w:t>
      </w:r>
    </w:p>
    <w:p>
      <w:pPr>
        <w:spacing w:after="0" w:line="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12, 2024, we filed a shelf registration statement on Form S-3ASR with the SEC for which we registered for sale an indeterminate amount of any combination of our ordinary shares, debt securities, warrants, rights and/or units from time to time and at prices and on terms that we may determine, which we refer to as the “2024 WKSI Shelf”. Our 2024 WKSI Shelf includes a prospectus covering up to an aggregate of $250.0 million in ordinary shares that we are able to issue and sell from time to time, through Jefferies LLC (“Jefferies”) acting as our sales agent, pursuant to the Open Market Sale Agreement, dated May 10, 2019, as amended by Amendment No. 1, dated as of March 2, 2020, Amendment No. 2, dated as of March 3, 2022, and Amendment No. 3, dated November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ind w:right="320"/>
        <w:spacing w:after="0" w:line="282" w:lineRule="auto"/>
        <w:rPr>
          <w:sz w:val="20"/>
          <w:szCs w:val="20"/>
          <w:color w:val="auto"/>
        </w:rPr>
      </w:pPr>
      <w:r>
        <w:rPr>
          <w:rFonts w:ascii="Times New Roman" w:cs="Times New Roman" w:eastAsia="Times New Roman" w:hAnsi="Times New Roman"/>
          <w:sz w:val="18"/>
          <w:szCs w:val="18"/>
          <w:color w:val="auto"/>
        </w:rPr>
        <w:t>12, 2024, (collectively, the “Sales Agreement”), for our “at-the-market” equity program. For the twelve months ended December 31, 2025, we received $94.6 million in net proceeds from sales under our “at-the-market" equity program.</w:t>
      </w:r>
    </w:p>
    <w:p>
      <w:pPr>
        <w:spacing w:after="0" w:line="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5"/>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(187,493)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(151,026)</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(19,431)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(1,115)</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488,235</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253,890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132,534</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4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300,036</w:t>
            </w: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101,788</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111,893</w:t>
            </w:r>
          </w:p>
        </w:tc>
        <w:tc>
          <w:tcPr>
            <w:tcW w:w="100" w:type="dxa"/>
            <w:vAlign w:val="bottom"/>
            <w:shd w:val="clear" w:color="auto" w:fill="CFF0FC"/>
          </w:tcPr>
          <w:p>
            <w:pPr>
              <w:spacing w:after="0"/>
              <w:rPr>
                <w:sz w:val="19"/>
                <w:szCs w:val="19"/>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-24765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During 2025, operating activities used $187.5 million of cash, primarily due to our net loss of $204.4 million and changes in our operating assets and liabilities of $16.9 million, partially offset by non-cash charges of $33.8 million The non-cash charges for 2025 related to share-based compensation expense of $25.0 million, amortization of right-of-use assets of $5.4 million, and depreciation expense of $3.4 million. The largest change in operating assets and liabilities was a $19.8 million decrease in deferred revenue, mainly driven by revenue recognized under the GSK Collaboration Agreement.</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2024, operating activities used $151.0 million of cash, primarily due to our net loss of $97.0 million, partially offset by non-cash charges of $21.8 million and changes in our operating assets and liabilities of $75.8 million. The non-cash charges for 2024 related to share-based compensation expense of $13.1 million, amortization of right-of-use assets of $4.8 million, and depreciation expense of $3.9 million. The largest change in operating assets and liabilities was a $93.6 million decrease in deferred revenue, mainly driven by our Takeda Collaboration Agreement, which was partially offset by the second largest change in operating assets and liabilities, the $19.7 million decrease in accounts receivable primarily due to the collection of receivables related to the GSK Collaboration Agreement.</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2023, operating activities used $19.4 million of cash, primarily due to our net loss of $57.5 million, partially offset by non-cash charges of $19.0 million and changes in our operating assets and liabilities of $19.1 million. The non-cash charges for 2023 related to share-based compensation expense of $9.8 million, amortization of right-of-use assets of $4.2 million, and depreciation expense of $5.0 million. The largest change in operating assets and liabilities was a $54.3 million increase in deferred revenue, mainly driven by our GSK Collaboration Agreement, which became effective in January 2023, which was partially offset by the second largest change in operating assets and liabilities, the $21.1 million increase in accounts receivable primarily related to the achievement of a milestone under the GSK Collaboration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investing activities used $0.7 million of cash, primarily consisting of purchases of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investing activities used $0.9 million of cash, primarily consisting of purchases of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investing activities used $1.1 million of cash, primarily consisting of purchases of property and equipment.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2025, net cash provided by financing activities was $488.2 million, primarily due to the $377.8 million in net proceeds from the December 2025 Offering of ordinary shares and the 2025 Pre-Funded Warrants, $94.6 million in net proceeds from sales under our “at-the-market” equity program, as well as $14.9 million in proceeds from the exercise of stock options.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2024, net cash provided by financing activities was $253.9 million, primarily due to the $215.8 million in net proceeds from the September 2024 underwritten public offering of ordinary shares and the 2024 Pre-Funded Warrants (as defined below) (the "September 2024 Offering"); as well as the $14.0 million in net proceeds from the January 2024 exercise of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ind w:right="220"/>
        <w:spacing w:after="0" w:line="282" w:lineRule="auto"/>
        <w:rPr>
          <w:sz w:val="20"/>
          <w:szCs w:val="20"/>
          <w:color w:val="auto"/>
        </w:rPr>
      </w:pPr>
      <w:r>
        <w:rPr>
          <w:rFonts w:ascii="Times New Roman" w:cs="Times New Roman" w:eastAsia="Times New Roman" w:hAnsi="Times New Roman"/>
          <w:sz w:val="18"/>
          <w:szCs w:val="18"/>
          <w:color w:val="auto"/>
        </w:rPr>
        <w:t>to purchase an additional 3,000,000 shares under the December 2023 Offering. Additionally, we received $20.4 million in net proceeds from sales under our “at-the-market” equity program.</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2023, net cash provided by financing activities was $132.5 million, primarily due to the $93.6 million in net proceeds from the December 2023 Offering, which comprised of sales of ordinary shares, as well as $34.6 million in net proceeds from the GSK Equity Investment. Additionally, there were $3.1 million in net proceeds from our "at-the-market" equity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in connection with our ongoing research and development activities and our internal cGMP manufacturing activities. Furthermore, we anticipate that our expenses will continue to vary if and as we:</w:t>
      </w:r>
    </w:p>
    <w:p>
      <w:pPr>
        <w:spacing w:after="0" w:line="54"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our clinical trials evaluating our product candidates in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research and preclinical development of discovery targets and advance additional programs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clinical trial applications with global regulatory agencies and conduct clinical trials for our programs;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continuing to innovate our research and development platform, PRISM, and in optimizing our manufacturing processes and formulations;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manufacturing capabilities through our internal facility and our CMOs;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intellectual property portfolio and consider the acquisition of complementary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the impacts of local and global health epidemics, geopolitical conflicts, global economic uncertainty, tariffs, rising inflation, rising interest rates or market disruptions on our business;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build capabilities to market, distribute and sell our product candidates.</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may experience delays or encounter issues with any of the above, including but not limited to failed studies, complex results, safety issues or other regulatory challenges.</w:t>
      </w:r>
    </w:p>
    <w:p>
      <w:pPr>
        <w:spacing w:after="0" w:line="5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drug candidates and because the extent to which we may enter into collaborations with third parties for development of product candidates is unknown, we are unable to estimate the amounts of future capital outlays and operating expenses associated with completing the research and development for our therapeutic programs. Our future capital requirements for our therapeutic programs will depend on many factors, including:</w:t>
      </w:r>
    </w:p>
    <w:p>
      <w:pPr>
        <w:spacing w:after="0" w:line="72" w:lineRule="exact"/>
        <w:rPr>
          <w:sz w:val="20"/>
          <w:szCs w:val="20"/>
          <w:color w:val="auto"/>
        </w:rPr>
      </w:pPr>
    </w:p>
    <w:p>
      <w:pPr>
        <w:ind w:left="1020" w:right="2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and costs of conducting research and continued preclinical and clinical development for our therapeutic programs and future potential pipeline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and programs that we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milestone events are achieved under our collaboration with GSK or any potential future licensee or collaborator;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local and global health epidemics, geopolitical conflicts, global economic uncertainty, tariffs, rising inflation, rising interest rates or market disruptions on our business;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 to the extent any are approved for commercial sale, and the revenue, if any, received from commercial sales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6" w:name="page87"/>
    <w:bookmarkEnd w:id="86"/>
    <w:p>
      <w:pPr>
        <w:ind w:left="1020" w:right="7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when we need them, or at all. We do not currently have any committed external source of funds, except for possible future payments from GSK under our collaboration with them. To the extent that we raise additional capital through the sale of equity or convertible debt securities, the ownership interest of our existing shareholders will be diluted, and the terms may include liquidation or other preferences that adversely affect the rights of our shareholders.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shareholders’ ownership interests.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detailed information regarding recently issued and adopted accounting pronouncements and the expected impact on our consolidated financial statements, see Note 2 “Significant Accounting Policies” in the notes to the consolidated financial statements appearing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U.S. GAAP. The preparation of our financial statements and related disclosures requires us to make estimates and assumptions that affect the reported amount of assets, liabilities, revenue, costs and expenses and related disclosures. We believe that our revenue recognition policy, particularly (a) assessing the number of performance obligations; (b) determining the transaction price; (c) allocating the transaction price to the performance obligations in the contract; and (d) determining the pattern over which performance obligations are satisfied, including estimates to complete performance obligations, and the assumptions and estimates used in our analysis of contracts with CROs and CMOs to estimate the contract expense, involve a greater degree of judgment, and therefore we consider them to be our critical accounting policies. We evaluate our estimates and assumptions on an ongoing basis. Our actual results may differ from these estimates under different assumptions and conditions.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recognizes revenue in accordance with Accounting Standards Codification (“ASC”) Topic 606, Revenue from Contracts with Customers (“ASC 606”). This standard applies to all contracts with customers, except for contracts that are within the scope of other standards, such as leases, insurance, and financial instruments.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to which it is entitled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entered into collaboration agreements for research, development, and commercial services, under which the Company licenses certain rights to its product candidates to third parties. The terms of these arrangements typically include payment to the Company of one or more of the following: non-refundable, upfront license fees; prepayment or reimbursement of certain costs; customer option exercise fees; development, regulatory and commercial milestone payments; and royalties on net sales of licensed products. Any variable consideration is constrained, and therefore, the cumulative revenue associated with this consideration is not recognized until it is deemed not to be at significant risk of reversal.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spacing w:after="0" w:line="253"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the Company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w:t>
      </w:r>
    </w:p>
    <w:p>
      <w:pPr>
        <w:spacing w:after="0" w:line="5" w:lineRule="exact"/>
        <w:rPr>
          <w:sz w:val="20"/>
          <w:szCs w:val="20"/>
          <w:color w:val="auto"/>
        </w:rPr>
      </w:pPr>
    </w:p>
    <w:p>
      <w:pPr>
        <w:ind w:right="40" w:firstLine="8"/>
        <w:spacing w:after="0" w:line="253" w:lineRule="auto"/>
        <w:tabs>
          <w:tab w:leader="none" w:pos="2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 the transaction price under step (iii) above; and (c) the timing of satisfaction of performance obligations as a measure of progress in step (v) above. The Company uses significant judgment to determine whether milestones or other variable consideration, except for royalties, should be included in the transaction price as described further below. The transaction price is allocated to the optional goods and services the Company expects to provide. The Company uses estimates to determine the timing of satisfaction of performance obligations.</w:t>
      </w:r>
    </w:p>
    <w:p>
      <w:pPr>
        <w:spacing w:after="0" w:line="81"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Amounts received prior to being recognized as revenue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In assessing whether a promise or performance obligation is distinct from the other promises, the Company considers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such as the research, development, manufacturing and commercialization capabilities of the customer and the availability of the associated expertise in the general marketplace.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7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If an arrangement is determined to contain a promise or obligation for the Company to perform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services, the Company must determine whether these services are distinct from other promises in the arrangement. In assessing whether the services are distinct from the other promises, the Company considers the capabilities of the customer to perform these same services.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If an arrangement is determined to contain customer options that allow the customer to acquire additional goods or services, the goods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standalone selling price. Amounts allocated to any material right are not recognized as revenue until the option is exercised and the performance obligation is satisfied.</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milestone payments, the Company evaluates whether a significant reversal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7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 be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predominant item to which the royalties relate, the Company recognizes revenue at the later of (i) when the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8" w:name="page89"/>
    <w:bookmarkEnd w:id="88"/>
    <w:p>
      <w:pPr>
        <w:spacing w:after="0" w:line="282" w:lineRule="auto"/>
        <w:rPr>
          <w:sz w:val="20"/>
          <w:szCs w:val="20"/>
          <w:color w:val="auto"/>
        </w:rPr>
      </w:pPr>
      <w:r>
        <w:rPr>
          <w:rFonts w:ascii="Times New Roman" w:cs="Times New Roman" w:eastAsia="Times New Roman" w:hAnsi="Times New Roman"/>
          <w:sz w:val="18"/>
          <w:szCs w:val="18"/>
          <w:color w:val="auto"/>
        </w:rPr>
        <w:t>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 costs: </w:t>
      </w:r>
      <w:r>
        <w:rPr>
          <w:rFonts w:ascii="Times New Roman" w:cs="Times New Roman" w:eastAsia="Times New Roman" w:hAnsi="Times New Roman"/>
          <w:sz w:val="18"/>
          <w:szCs w:val="18"/>
          <w:color w:val="auto"/>
        </w:rPr>
        <w:t>The Company recognizes as an asset the incremental costs of obtaining a contract with a customer if the costs are expected to be recovered.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practical expedient, the Company recognizes the incremental costs of obtaining a contract as an expense when incurred if the amortization period of the asset that it otherwise would have recognized is one year or less. To date, the Company has not incurred any incremental costs of obtaining a contract with a customer.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discussion of accounting for collaboration revenues, see Note 5 of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Expenses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we prepare our consolidated financial statements, we are required to estimate our prepaid and accrued expenses. For certain contracts with our CROs and CMOs, if the billing terms do not align with the pattern in which the work is completed by the CRO or CMO as of the end of the period, we are required to perform an analysis to estimate the expense, for the period and to date for each contract.</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Contracts that are subject to this analysis generally relate to the following services: research and development services, manufacturing services, toxicology studies and clinical trial services. Once we have completed our analysis, we will record the estimated expense in the period for each contract and, depending on the invoicing activity related to each contract, we either have a prepayment or accrual as of the end of the period. We base our estimates on communications with internal study managers, our knowledge of the ongoing and past work at the CROs and CMOs, and communications and reporting from our CROs and CMOs, where applicable.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in the ordinary course of our business. Our cash and cash equivalents are comprised of funds held in checking accounts and money market accounts.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 our results of operations or our cash flows. For the years ended December 31, 2025, 2024, and 2023, changes in foreign currency exchange rates did not have a material impact on our historical financial position, our business, our financial condition, our results of operations or our 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had a material effect on our business, financial condition, results of operations, or cash flows in the last two years. If global inflation trends continue, we expect appreciable increases in clinical trial, labor, and other operating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 Risk</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currently have no product revenues and depend on funds raised through other sources. One possible source of funding is through further equity offerings. Our ability to raise funds in this manner depends upon capital market forces affecting our share price, including global economic uncertainty on the capital markets.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8 is included at the end of this Annual Report on Form 10-K beginning on page F-1.</w:t>
      </w:r>
    </w:p>
    <w:p>
      <w:pPr>
        <w:spacing w:after="0" w:line="329" w:lineRule="exact"/>
        <w:rPr>
          <w:sz w:val="20"/>
          <w:szCs w:val="20"/>
          <w:color w:val="auto"/>
        </w:rPr>
      </w:pPr>
    </w:p>
    <w:p>
      <w:pPr>
        <w:ind w:right="3640"/>
        <w:spacing w:after="0" w:line="412" w:lineRule="auto"/>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 xml:space="preserve"> </w:t>
      </w:r>
      <w:r>
        <w:rPr>
          <w:rFonts w:ascii="Times New Roman" w:cs="Times New Roman" w:eastAsia="Times New Roman" w:hAnsi="Times New Roman"/>
          <w:sz w:val="18"/>
          <w:szCs w:val="18"/>
          <w:b w:val="1"/>
          <w:bCs w:val="1"/>
          <w:color w:val="auto"/>
        </w:rPr>
        <w:t xml:space="preserve">Changes in and Disagreements with Accountants on Accounting and Financial Disclosure </w:t>
      </w: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its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principal executive officer and principal financial officer concluded that, as of such date, our disclosure controls and procedures were effective at the reasonable assurance level.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required by Rule 13a-15(d) and 15d-15(d) of the Exchange Act that occurred during the fiscal quarter ended December 31, 2025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Securities Exchange Act of 1934, as amended, as a process designed by, or under the supervision of, the company’s principal executive and principal financial officers and effected by the company’s Board,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5" w:lineRule="exact"/>
        <w:rPr>
          <w:sz w:val="20"/>
          <w:szCs w:val="20"/>
          <w:color w:val="auto"/>
        </w:rPr>
      </w:pPr>
    </w:p>
    <w:p>
      <w:pPr>
        <w:ind w:left="1020" w:right="1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3"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of the company;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5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2025. In making this assessment, management used the criteria set forth by the Committee of Sponsoring Organizations of the Treadway Commission (“COSO”) in Internal Control-Integrated Framework (2013).</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Based on our assessment, management believes that, as of December 31, 2025, our internal control over financial reporting is effective based on those criteria.</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KPMG LLP, an independent registered public accounting firm, as stated in their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0" w:name="page91"/>
    <w:bookmarkEnd w:id="90"/>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2025, certain of our officers (as defined in Rule 16a-1(f) of the Exchange Act) and directors entered into contracts, instructions or written plans (each, a “Rule 10b5-1 Trading Plan” and collectively, the “Rule 10b5-1 Trading Plans”) for the purchase or sale of our securities that are intended to satisfy the conditions specified in Rule 10b5-1(c) under the Exchange Act for an affirmative defense against liability for trading in securities on the basis of material nonpublic information. We describe the material terms of these Rule 10b5-1 Trading Plans below.</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21, 2025, Paul B. Bolno, M.D., MBA, our President and Chief Executive Officer, adopted a Rule 10b5-1 Trading Plan providing for the sale of up to an aggregate of 1,480,900 of our ordinary shares pursuant to the terms of such Rule 10b5-1 Trading Plan. Dr. Bolno's Rule 10b5-1 Trading Plan is active until June 16, 2026, or earlier, if and when all transactions under the Rule 10b5-1 Trading Plan are completed.</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November 20, 2025, Christopher Francis, Ph.D., our Senior Vice President, Corporate Development, Head of Emerging Areas, adopted a Rule 10b5-1 Trading Plan providing for the sale of up to an aggregate of 520,702 of our ordinary shares pursuant to the terms of such Rule 10b5-1 Trading Plan. Dr. Francis’ Rule 10b5-1 Trading Plan is active until August 21, 2026, or earlier, if and when all transactions under the Rule 10b5-1 Trading Plan are completed.</w:t>
      </w:r>
    </w:p>
    <w:p>
      <w:pPr>
        <w:spacing w:after="0" w:line="7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December 17, 2025, Kyle Moran, CFA, our Chief Financial Officer, terminated a Rule 10b5-1 Trading Plan that was originally adopted on November 20, 2025. Mr. Moran’s former Rule 10b5-1 Trading Plan provided for the sale of up to an aggregate of 392,647 of our ordinary shares. No ordinary shares were sold under Dr. Moran’s Rule 10b5-1 Trading Plan prior to its termination.</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December 18, 2025, Mr. Moran adopted a Rule 10b5-1 Trading Plan providing for the sale of up to an aggregate of 196,647 of our ordinary shares pursuant to the terms of such Rule 10b5-1 Trading Plan. Mr. Moran's Rule 10b5-1 Trading Plan is active until August 21, 2026, or earlier, if and when all transactions under the Rule 10b5-1 Trading Plan are completed.</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December 16, 2025, Chandra Vargeese, Ph.D., our Chief Technology Officer, Head of Platform Discovery Sciences, terminated a Rule 10b5-1 Trading Plan that was originally adopted on November 19, 2025. Dr. Vargeese’s former Rule 10b5-1 Trading Plan provided for the sale of up to an aggregate of 132,886 of our ordinary shares. No ordinary shares were sold under Dr. Vargeese’s Rule 10b5-1 Trading Plan prior to its termination.</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December 17, 2025, Dr. Vargeese adopted a Rule 10b5-1 Trading Plan providing for the sale of up to an aggregate of 82,886 of our ordinary shares pursuant to the terms of such Rule 10b5-1 Trading Plan. Dr. Vargeese’s Rule 10b5-1 Trading Plan is active until August 20, 2026, or earlier, if and when all transactions under the Rule 10b5-1 Trading Plan are completed.</w:t>
      </w:r>
    </w:p>
    <w:p>
      <w:pPr>
        <w:spacing w:after="0" w:line="6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Except as disclosed above,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such term is defined in Item 408(a) of Regulation S-K, during the fiscal quarter ended December 31, 2025.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2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in connection with our 2026 Annual General Meeting of Shareholders, (the "Proxy Statement"), if the Proxy Statement is filed not later than 120 days after the end of our fiscal year ended December 31, 2025, in the sections titled “Management and Corporate Governance,” and “Code of Business Conduct and Ethics,” and is incorporated herein by reference. If the Proxy Statement is not filed within such 120-day period, the information required by this item will be contained in an amendment to this Annual Report on Form 10-K to be filed with the SEC (the "Form 10-K/A").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 titled “Executive Officer and Director Compensation,” Compensation Discussion and Analysis,” “Management and Corporate Governance—Compensation Committee Interlocks and Insider Participation,” and “Compensation Committee Report” in our Proxy Statement. The section entitled “Pay Versus Performance” in our Proxy Statement is not incorporated by reference herein. If the Proxy Statement is not filed within 120 days after the end of our fiscal year ended December 31, 2025, the information required by this item will be contained in the Form 10-K/A.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sections titled “Security Ownership of Certain Beneficial Owners and Management” and “Equity Compensation Plan Information” in our Proxy Statement. If the Proxy Statement is not filed within 120 days after the end of our fiscal year ended December 31, 2025, the information required by this item will be contained in the Form 10-K/A.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sections titled “Certain Relationships and Related Person Transactions” and “Management and Corporate Governance – Director Independence” in our Proxy Statement. If the Proxy Statement is not filed within 120 days after the end of our fiscal year ended December 31, 2025, the information required by this item will be contained in the Form 10-K/A.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is incorporated by reference to the information set forth in the sections titled “Principal Accountant Fees and Services” and “Policy on Audit Committee Pre-Approval of Audit and Permissible Non-Audit Services of Independent Public Accounting Firm” in our Proxy Statement. If the Proxy Statement is not filed within 120 days after the end of our fiscal year ended December 31, 2025, the information required by this item will be contained in the Form 10-K/A.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Boston, MA, 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17" w:lineRule="exact"/>
        <w:rPr>
          <w:rFonts w:ascii="Times New Roman" w:cs="Times New Roman" w:eastAsia="Times New Roman" w:hAnsi="Times New Roman"/>
          <w:sz w:val="18"/>
          <w:szCs w:val="18"/>
          <w:color w:val="auto"/>
        </w:rPr>
      </w:pPr>
    </w:p>
    <w:p>
      <w:pPr>
        <w:ind w:left="1200" w:hanging="174"/>
        <w:spacing w:after="0"/>
        <w:tabs>
          <w:tab w:leader="none" w:pos="12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Index to Consolidated Financial Statements on page [108] of this Annual Report on Form 10-K.</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 thereto.</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60" w:type="dxa"/>
            <w:vAlign w:val="bottom"/>
            <w:gridSpan w:val="17"/>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this</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73"/>
        </w:trPr>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17"/>
            <w:vMerge w:val="continue"/>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36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Constitution (formerly known as Memorandum of</w:t>
              </w:r>
            </w:hyperlink>
          </w:p>
        </w:tc>
        <w:tc>
          <w:tcPr>
            <w:tcW w:w="4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Amendment No. 5</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11/10/2015</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333-207379</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gridSpan w:val="18"/>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Association and Articles of Association)</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to Form S-1</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3.2)</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4060" w:type="dxa"/>
            <w:vAlign w:val="bottom"/>
            <w:gridSpan w:val="18"/>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Specimen Ordinary Share Certificate</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Amendment No. 3</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11/06/2015</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333-207379</w:t>
            </w:r>
          </w:p>
        </w:tc>
        <w:tc>
          <w:tcPr>
            <w:tcW w:w="0" w:type="dxa"/>
            <w:vAlign w:val="bottom"/>
          </w:tcPr>
          <w:p>
            <w:pPr>
              <w:spacing w:after="0"/>
              <w:rPr>
                <w:sz w:val="1"/>
                <w:szCs w:val="1"/>
                <w:color w:val="auto"/>
              </w:rPr>
            </w:pPr>
          </w:p>
        </w:tc>
      </w:tr>
      <w:tr>
        <w:trPr>
          <w:trHeight w:val="218"/>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 Form S-1</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33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rPr>
              <w:t>Description of Securities of the Registrant and</w:t>
            </w:r>
          </w:p>
        </w:tc>
        <w:tc>
          <w:tcPr>
            <w:tcW w:w="680" w:type="dxa"/>
            <w:vAlign w:val="bottom"/>
            <w:gridSpan w:val="7"/>
            <w:vMerge w:val="restart"/>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4.1)</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Borders>
              <w:bottom w:val="single" w:sz="8" w:color="0000FF"/>
            </w:tcBorders>
            <w:gridSpan w:val="11"/>
            <w:vMerge w:val="continue"/>
          </w:tcPr>
          <w:p>
            <w:pPr>
              <w:spacing w:after="0"/>
              <w:rPr>
                <w:sz w:val="15"/>
                <w:szCs w:val="15"/>
                <w:color w:val="auto"/>
              </w:rPr>
            </w:pPr>
          </w:p>
        </w:tc>
        <w:tc>
          <w:tcPr>
            <w:tcW w:w="680" w:type="dxa"/>
            <w:vAlign w:val="bottom"/>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Comparison of Shareholder Rights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4"/>
                <w:szCs w:val="24"/>
                <w:color w:val="auto"/>
              </w:rPr>
            </w:pPr>
          </w:p>
        </w:tc>
        <w:tc>
          <w:tcPr>
            <w:tcW w:w="4060" w:type="dxa"/>
            <w:vAlign w:val="bottom"/>
            <w:gridSpan w:val="18"/>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Pre-Funded Warrant (2022)</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06/14/2022</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4.1)</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24"/>
                <w:szCs w:val="24"/>
                <w:color w:val="auto"/>
              </w:rPr>
            </w:pPr>
          </w:p>
        </w:tc>
        <w:tc>
          <w:tcPr>
            <w:tcW w:w="4060" w:type="dxa"/>
            <w:vAlign w:val="bottom"/>
            <w:gridSpan w:val="1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Pre-Funded Warrant (2024)</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9/26/2024</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4.1)</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4"/>
                <w:szCs w:val="24"/>
                <w:color w:val="auto"/>
              </w:rPr>
            </w:pPr>
          </w:p>
        </w:tc>
        <w:tc>
          <w:tcPr>
            <w:tcW w:w="4060" w:type="dxa"/>
            <w:vAlign w:val="bottom"/>
            <w:gridSpan w:val="18"/>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Pre-Funded Warrant (2025)</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12/11/2025</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4.1)</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34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Share Purchase Agreement by and between the</w:t>
              </w:r>
            </w:hyperlink>
          </w:p>
        </w:tc>
        <w:tc>
          <w:tcPr>
            <w:tcW w:w="62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10-Q</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08/15/2016</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Registrant and C.P. Pharmaceuticals International C.V.,</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gridSpan w:val="18"/>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dated as of May 5, 2016</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Lease Agreements</w:t>
            </w:r>
          </w:p>
        </w:tc>
        <w:tc>
          <w:tcPr>
            <w:tcW w:w="386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39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Lease Agreement by and between Wave Life Sciences</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S-1</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10/09/2015</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333-207379</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USA, Inc., the Registrant, and King 733 Concord LLC,</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(Exhibit 10.7)</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dated as of April 6, 2015</w:t>
              </w:r>
            </w:hyperlink>
          </w:p>
        </w:tc>
        <w:tc>
          <w:tcPr>
            <w:tcW w:w="20" w:type="dxa"/>
            <w:vAlign w:val="bottom"/>
            <w:tcBorders>
              <w:bottom w:val="single" w:sz="8" w:color="0000EE"/>
            </w:tcBorders>
          </w:tcPr>
          <w:p>
            <w:pPr>
              <w:spacing w:after="0"/>
              <w:rPr>
                <w:sz w:val="17"/>
                <w:szCs w:val="17"/>
                <w:color w:val="auto"/>
              </w:rPr>
            </w:pPr>
          </w:p>
        </w:tc>
        <w:tc>
          <w:tcPr>
            <w:tcW w:w="224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40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First Amendment (to Lease) by and between Wave Life</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10-K</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03/04/2021</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Sciences USA, Inc. and CPI/King 733 Concord Owner,</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(Exhibit 10.5.2)</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gridSpan w:val="18"/>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LLC, dated as of December 9, 2020</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Borders>
              <w:right w:val="single" w:sz="8" w:color="0000EE"/>
            </w:tcBorders>
            <w:gridSpan w:val="6"/>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39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Second Amendment (to Lease) by and between Wave</w:t>
              </w:r>
            </w:hyperlink>
          </w:p>
        </w:tc>
        <w:tc>
          <w:tcPr>
            <w:tcW w:w="1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10-Q</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08/11/2022</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001-37627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Life Sciences USA, Inc. and CPI/King 733 Concord</w:t>
              </w:r>
            </w:hyperlink>
          </w:p>
        </w:tc>
        <w:tc>
          <w:tcPr>
            <w:tcW w:w="2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gridSpan w:val="18"/>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Owner, LLC, dated as of August 8, 2022</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1"/>
        </w:trPr>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39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Lease Agreement by and between Wave Life Sciences</w:t>
              </w:r>
            </w:hyperlink>
          </w:p>
        </w:tc>
        <w:tc>
          <w:tcPr>
            <w:tcW w:w="80" w:type="dxa"/>
            <w:vAlign w:val="bottom"/>
            <w:gridSpan w:val="3"/>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7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USA, Inc. and King 115 Hartwell LLC, dated as of</w:t>
              </w:r>
            </w:hyperlink>
          </w:p>
        </w:tc>
        <w:tc>
          <w:tcPr>
            <w:tcW w:w="320" w:type="dxa"/>
            <w:vAlign w:val="bottom"/>
            <w:gridSpan w:val="10"/>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September 26, 2016</w:t>
              </w:r>
            </w:hyperlink>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0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First Amendment (to Lease) by and between Wave Life</w:t>
              </w:r>
            </w:hyperlink>
          </w:p>
        </w:tc>
      </w:tr>
      <w:tr>
        <w:trPr>
          <w:trHeight w:val="196"/>
        </w:trPr>
        <w:tc>
          <w:tcPr>
            <w:tcW w:w="1220" w:type="dxa"/>
            <w:vAlign w:val="bottom"/>
          </w:tcPr>
          <w:p>
            <w:pPr>
              <w:spacing w:after="0"/>
              <w:rPr>
                <w:sz w:val="17"/>
                <w:szCs w:val="17"/>
                <w:color w:val="auto"/>
              </w:rPr>
            </w:pPr>
          </w:p>
        </w:tc>
        <w:tc>
          <w:tcPr>
            <w:tcW w:w="40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Sciences USA, Inc. and King 115 Hartwell LLC, dated</w:t>
              </w:r>
            </w:hyperlink>
          </w:p>
        </w:tc>
        <w:tc>
          <w:tcPr>
            <w:tcW w:w="40" w:type="dxa"/>
            <w:vAlign w:val="bottom"/>
            <w:gridSpan w:val="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as of December 31, 2016</w:t>
              </w:r>
            </w:hyperlink>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528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tc>
      </w:tr>
      <w:tr>
        <w:trPr>
          <w:trHeight w:val="20"/>
        </w:trPr>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9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Collaboration and License Agreement by and between</w:t>
              </w:r>
            </w:hyperlink>
          </w:p>
        </w:tc>
        <w:tc>
          <w:tcPr>
            <w:tcW w:w="100" w:type="dxa"/>
            <w:vAlign w:val="bottom"/>
            <w:gridSpan w:val="4"/>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40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Wave Life Sciences USA, Inc., Wave Life Sciences UK</w:t>
              </w:r>
            </w:hyperlink>
          </w:p>
        </w:tc>
      </w:tr>
      <w:tr>
        <w:trPr>
          <w:trHeight w:val="196"/>
        </w:trPr>
        <w:tc>
          <w:tcPr>
            <w:tcW w:w="1220" w:type="dxa"/>
            <w:vAlign w:val="bottom"/>
          </w:tcPr>
          <w:p>
            <w:pPr>
              <w:spacing w:after="0"/>
              <w:rPr>
                <w:sz w:val="17"/>
                <w:szCs w:val="17"/>
                <w:color w:val="auto"/>
              </w:rPr>
            </w:pPr>
          </w:p>
        </w:tc>
        <w:tc>
          <w:tcPr>
            <w:tcW w:w="37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Limited and GlaxoSmithKline Intellectual Property</w:t>
              </w:r>
            </w:hyperlink>
          </w:p>
        </w:tc>
        <w:tc>
          <w:tcPr>
            <w:tcW w:w="300" w:type="dxa"/>
            <w:vAlign w:val="bottom"/>
            <w:gridSpan w:val="9"/>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8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(No. 3), dated as of December 13, 2022</w:t>
              </w:r>
            </w:hyperlink>
          </w:p>
        </w:tc>
        <w:tc>
          <w:tcPr>
            <w:tcW w:w="20" w:type="dxa"/>
            <w:vAlign w:val="bottom"/>
            <w:tcBorders>
              <w:bottom w:val="single" w:sz="8" w:color="0000EE"/>
            </w:tcBorders>
          </w:tcPr>
          <w:p>
            <w:pPr>
              <w:spacing w:after="0"/>
              <w:rPr>
                <w:sz w:val="17"/>
                <w:szCs w:val="17"/>
                <w:color w:val="auto"/>
              </w:rPr>
            </w:pPr>
          </w:p>
        </w:tc>
        <w:tc>
          <w:tcPr>
            <w:tcW w:w="1180" w:type="dxa"/>
            <w:vAlign w:val="bottom"/>
            <w:gridSpan w:val="19"/>
          </w:tcPr>
          <w:p>
            <w:pPr>
              <w:spacing w:after="0"/>
              <w:rPr>
                <w:sz w:val="17"/>
                <w:szCs w:val="17"/>
                <w:color w:val="auto"/>
              </w:rPr>
            </w:pPr>
          </w:p>
        </w:tc>
      </w:tr>
      <w:tr>
        <w:trPr>
          <w:trHeight w:val="41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Share Purchase Agreement by and between Glaxo</w:t>
              </w:r>
            </w:hyperlink>
          </w:p>
        </w:tc>
        <w:tc>
          <w:tcPr>
            <w:tcW w:w="400" w:type="dxa"/>
            <w:vAlign w:val="bottom"/>
            <w:gridSpan w:val="12"/>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33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Group Limited and the Registrant, dated as of</w:t>
              </w:r>
            </w:hyperlink>
          </w:p>
        </w:tc>
        <w:tc>
          <w:tcPr>
            <w:tcW w:w="720" w:type="dxa"/>
            <w:vAlign w:val="bottom"/>
            <w:gridSpan w:val="17"/>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4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December 13, 2022</w:t>
              </w:r>
            </w:hyperlink>
          </w:p>
        </w:tc>
        <w:tc>
          <w:tcPr>
            <w:tcW w:w="2600" w:type="dxa"/>
            <w:vAlign w:val="bottom"/>
            <w:gridSpan w:val="24"/>
          </w:tcPr>
          <w:p>
            <w:pPr>
              <w:spacing w:after="0"/>
              <w:rPr>
                <w:sz w:val="17"/>
                <w:szCs w:val="17"/>
                <w:color w:val="auto"/>
              </w:rPr>
            </w:pPr>
          </w:p>
        </w:tc>
      </w:tr>
      <w:tr>
        <w:trPr>
          <w:trHeight w:val="41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6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Investor Agreement by and between Glaxo Group</w:t>
              </w:r>
            </w:hyperlink>
          </w:p>
        </w:tc>
        <w:tc>
          <w:tcPr>
            <w:tcW w:w="420" w:type="dxa"/>
            <w:vAlign w:val="bottom"/>
            <w:gridSpan w:val="13"/>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Limited and the Registrant, dated as of January 26,</w:t>
              </w:r>
            </w:hyperlink>
          </w:p>
        </w:tc>
      </w:tr>
      <w:tr>
        <w:trPr>
          <w:trHeight w:val="196"/>
        </w:trPr>
        <w:tc>
          <w:tcPr>
            <w:tcW w:w="1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62">
              <w:r>
                <w:rPr>
                  <w:rFonts w:ascii="Times New Roman" w:cs="Times New Roman" w:eastAsia="Times New Roman" w:hAnsi="Times New Roman"/>
                  <w:sz w:val="18"/>
                  <w:szCs w:val="18"/>
                  <w:color w:val="0000FF"/>
                  <w:w w:val="94"/>
                </w:rPr>
                <w:t>2023</w:t>
              </w:r>
            </w:hyperlink>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388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w w:val="99"/>
              </w:rPr>
              <w:t>Agreements with Executive Officers and Directors</w:t>
            </w:r>
          </w:p>
        </w:tc>
        <w:tc>
          <w:tcPr>
            <w:tcW w:w="1400" w:type="dxa"/>
            <w:vAlign w:val="bottom"/>
            <w:gridSpan w:val="21"/>
          </w:tcPr>
          <w:p>
            <w:pPr>
              <w:spacing w:after="0"/>
              <w:rPr>
                <w:sz w:val="24"/>
                <w:szCs w:val="24"/>
                <w:color w:val="auto"/>
              </w:rPr>
            </w:pPr>
          </w:p>
        </w:tc>
      </w:tr>
      <w:tr>
        <w:trPr>
          <w:trHeight w:val="34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4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Deed of Indemnity by and between the</w:t>
              </w:r>
            </w:hyperlink>
          </w:p>
        </w:tc>
        <w:tc>
          <w:tcPr>
            <w:tcW w:w="580" w:type="dxa"/>
            <w:vAlign w:val="bottom"/>
            <w:gridSpan w:val="15"/>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38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Registrant and each of its directors and certain of its</w:t>
              </w:r>
            </w:hyperlink>
          </w:p>
        </w:tc>
        <w:tc>
          <w:tcPr>
            <w:tcW w:w="240" w:type="dxa"/>
            <w:vAlign w:val="bottom"/>
            <w:gridSpan w:val="7"/>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5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officers</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29"/>
          </w:tcPr>
          <w:p>
            <w:pPr>
              <w:spacing w:after="0"/>
              <w:rPr>
                <w:sz w:val="17"/>
                <w:szCs w:val="17"/>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7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Employment Agreement, as amended and restated,</w:t>
              </w:r>
            </w:hyperlink>
          </w:p>
        </w:tc>
        <w:tc>
          <w:tcPr>
            <w:tcW w:w="340" w:type="dxa"/>
            <w:vAlign w:val="bottom"/>
            <w:gridSpan w:val="11"/>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39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between the Registrant and Paul B. Bolno, dated as of</w:t>
              </w:r>
            </w:hyperlink>
          </w:p>
        </w:tc>
        <w:tc>
          <w:tcPr>
            <w:tcW w:w="120" w:type="dxa"/>
            <w:vAlign w:val="bottom"/>
            <w:gridSpan w:val="5"/>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May 8, 2020</w:t>
              </w:r>
            </w:hyperlink>
          </w:p>
        </w:tc>
        <w:tc>
          <w:tcPr>
            <w:tcW w:w="20" w:type="dxa"/>
            <w:vAlign w:val="bottom"/>
            <w:tcBorders>
              <w:bottom w:val="single" w:sz="8" w:color="0000EE"/>
            </w:tcBorders>
          </w:tcPr>
          <w:p>
            <w:pPr>
              <w:spacing w:after="0"/>
              <w:rPr>
                <w:sz w:val="17"/>
                <w:szCs w:val="17"/>
                <w:color w:val="auto"/>
              </w:rPr>
            </w:pPr>
          </w:p>
        </w:tc>
        <w:tc>
          <w:tcPr>
            <w:tcW w:w="3120" w:type="dxa"/>
            <w:vAlign w:val="bottom"/>
            <w:gridSpan w:val="27"/>
          </w:tcPr>
          <w:p>
            <w:pPr>
              <w:spacing w:after="0"/>
              <w:rPr>
                <w:sz w:val="17"/>
                <w:szCs w:val="17"/>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7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Employment Agreement, as amended and restated,</w:t>
              </w:r>
            </w:hyperlink>
          </w:p>
        </w:tc>
        <w:tc>
          <w:tcPr>
            <w:tcW w:w="340" w:type="dxa"/>
            <w:vAlign w:val="bottom"/>
            <w:gridSpan w:val="11"/>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40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between the Registrant and Chandra Vargeese, dated as</w:t>
              </w:r>
            </w:hyperlink>
          </w:p>
        </w:tc>
        <w:tc>
          <w:tcPr>
            <w:tcW w:w="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1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of May 8, 2020</w:t>
              </w:r>
            </w:hyperlink>
          </w:p>
        </w:tc>
        <w:tc>
          <w:tcPr>
            <w:tcW w:w="20" w:type="dxa"/>
            <w:vAlign w:val="bottom"/>
            <w:tcBorders>
              <w:bottom w:val="single" w:sz="8" w:color="0000EE"/>
            </w:tcBorders>
          </w:tcPr>
          <w:p>
            <w:pPr>
              <w:spacing w:after="0"/>
              <w:rPr>
                <w:sz w:val="17"/>
                <w:szCs w:val="17"/>
                <w:color w:val="auto"/>
              </w:rPr>
            </w:pPr>
          </w:p>
        </w:tc>
        <w:tc>
          <w:tcPr>
            <w:tcW w:w="2920" w:type="dxa"/>
            <w:vAlign w:val="bottom"/>
            <w:gridSpan w:val="25"/>
          </w:tcPr>
          <w:p>
            <w:pPr>
              <w:spacing w:after="0"/>
              <w:rPr>
                <w:sz w:val="17"/>
                <w:szCs w:val="17"/>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8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Employment Agreement between the Registrant and</w:t>
              </w:r>
            </w:hyperlink>
          </w:p>
        </w:tc>
        <w:tc>
          <w:tcPr>
            <w:tcW w:w="240" w:type="dxa"/>
            <w:vAlign w:val="bottom"/>
            <w:gridSpan w:val="7"/>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Christopher Francis, Ph.D., dated as of November 8,</w:t>
              </w:r>
            </w:hyperlink>
          </w:p>
        </w:tc>
      </w:tr>
      <w:tr>
        <w:trPr>
          <w:trHeight w:val="196"/>
        </w:trPr>
        <w:tc>
          <w:tcPr>
            <w:tcW w:w="1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66">
              <w:r>
                <w:rPr>
                  <w:rFonts w:ascii="Times New Roman" w:cs="Times New Roman" w:eastAsia="Times New Roman" w:hAnsi="Times New Roman"/>
                  <w:sz w:val="18"/>
                  <w:szCs w:val="18"/>
                  <w:color w:val="0000FF"/>
                  <w:w w:val="94"/>
                </w:rPr>
                <w:t>2022</w:t>
              </w:r>
            </w:hyperlink>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37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Employment Agreement, as amended and restated,</w:t>
              </w:r>
            </w:hyperlink>
          </w:p>
        </w:tc>
        <w:tc>
          <w:tcPr>
            <w:tcW w:w="340" w:type="dxa"/>
            <w:vAlign w:val="bottom"/>
            <w:gridSpan w:val="11"/>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38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between the Registrant and Kyle Moran, dated as of</w:t>
              </w:r>
            </w:hyperlink>
          </w:p>
        </w:tc>
        <w:tc>
          <w:tcPr>
            <w:tcW w:w="260" w:type="dxa"/>
            <w:vAlign w:val="bottom"/>
            <w:gridSpan w:val="8"/>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January 1, 2021</w:t>
              </w:r>
            </w:hyperlink>
          </w:p>
        </w:tc>
      </w:tr>
      <w:tr>
        <w:trPr>
          <w:trHeight w:val="20"/>
        </w:trPr>
        <w:tc>
          <w:tcPr>
            <w:tcW w:w="1220" w:type="dxa"/>
            <w:vAlign w:val="bottom"/>
          </w:tcPr>
          <w:p>
            <w:pPr>
              <w:spacing w:after="0" w:line="20" w:lineRule="exact"/>
              <w:rPr>
                <w:sz w:val="1"/>
                <w:szCs w:val="1"/>
                <w:color w:val="auto"/>
              </w:rPr>
            </w:pPr>
          </w:p>
        </w:tc>
        <w:tc>
          <w:tcPr>
            <w:tcW w:w="1140" w:type="dxa"/>
            <w:vAlign w:val="bottom"/>
            <w:gridSpan w:val="7"/>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36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Non-Employee Director Compensation Policy, as</w:t>
              </w:r>
            </w:hyperlink>
          </w:p>
        </w:tc>
        <w:tc>
          <w:tcPr>
            <w:tcW w:w="440" w:type="dxa"/>
            <w:vAlign w:val="bottom"/>
            <w:gridSpan w:val="14"/>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amended, effective as of August 11, 2025</w:t>
              </w:r>
            </w:hyperlink>
          </w:p>
        </w:tc>
      </w:tr>
      <w:tr>
        <w:trPr>
          <w:trHeight w:val="20"/>
        </w:trPr>
        <w:tc>
          <w:tcPr>
            <w:tcW w:w="1220" w:type="dxa"/>
            <w:vAlign w:val="bottom"/>
          </w:tcPr>
          <w:p>
            <w:pPr>
              <w:spacing w:after="0" w:line="20" w:lineRule="exact"/>
              <w:rPr>
                <w:sz w:val="1"/>
                <w:szCs w:val="1"/>
                <w:color w:val="auto"/>
              </w:rPr>
            </w:pPr>
          </w:p>
        </w:tc>
        <w:tc>
          <w:tcPr>
            <w:tcW w:w="1760" w:type="dxa"/>
            <w:vAlign w:val="bottom"/>
            <w:gridSpan w:val="9"/>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528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Equity and Other Compensation Plans</w:t>
            </w:r>
          </w:p>
        </w:tc>
      </w:tr>
      <w:tr>
        <w:trPr>
          <w:trHeight w:val="20"/>
        </w:trPr>
        <w:tc>
          <w:tcPr>
            <w:tcW w:w="1220" w:type="dxa"/>
            <w:vAlign w:val="bottom"/>
            <w:shd w:val="clear" w:color="auto" w:fill="000000"/>
          </w:tcPr>
          <w:p>
            <w:pPr>
              <w:spacing w:after="0" w:line="20" w:lineRule="exact"/>
              <w:rPr>
                <w:sz w:val="1"/>
                <w:szCs w:val="1"/>
                <w:color w:val="auto"/>
              </w:rPr>
            </w:pPr>
          </w:p>
        </w:tc>
        <w:tc>
          <w:tcPr>
            <w:tcW w:w="1760" w:type="dxa"/>
            <w:vAlign w:val="bottom"/>
            <w:gridSpan w:val="9"/>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0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Wave Life Sciences Ltd. 2014 Equity Incentive Plan, as</w:t>
              </w:r>
            </w:hyperlink>
          </w:p>
        </w:tc>
      </w:tr>
      <w:tr>
        <w:trPr>
          <w:trHeight w:val="196"/>
        </w:trPr>
        <w:tc>
          <w:tcPr>
            <w:tcW w:w="1220" w:type="dxa"/>
            <w:vAlign w:val="bottom"/>
          </w:tcPr>
          <w:p>
            <w:pPr>
              <w:spacing w:after="0"/>
              <w:rPr>
                <w:sz w:val="17"/>
                <w:szCs w:val="17"/>
                <w:color w:val="auto"/>
              </w:rPr>
            </w:pPr>
          </w:p>
        </w:tc>
        <w:tc>
          <w:tcPr>
            <w:tcW w:w="25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amended (the “2014 Equity Plan”)</w:t>
              </w:r>
            </w:hyperlink>
          </w:p>
        </w:tc>
        <w:tc>
          <w:tcPr>
            <w:tcW w:w="1560" w:type="dxa"/>
            <w:vAlign w:val="bottom"/>
            <w:gridSpan w:val="22"/>
          </w:tcPr>
          <w:p>
            <w:pPr>
              <w:spacing w:after="0"/>
              <w:rPr>
                <w:sz w:val="17"/>
                <w:szCs w:val="17"/>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0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Wave Life Sciences Ltd. 2021 Equity Plan, as amended,</w:t>
              </w:r>
            </w:hyperlink>
          </w:p>
        </w:tc>
      </w:tr>
      <w:tr>
        <w:trPr>
          <w:trHeight w:val="196"/>
        </w:trPr>
        <w:tc>
          <w:tcPr>
            <w:tcW w:w="12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(the “2021 Equity Plan”) effective August 5, 2025</w:t>
              </w:r>
            </w:hyperlink>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46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Wave Life Sciences Ltd. 2019 Employee Share</w:t>
              </w:r>
            </w:hyperlink>
          </w:p>
        </w:tc>
        <w:tc>
          <w:tcPr>
            <w:tcW w:w="160" w:type="dxa"/>
            <w:vAlign w:val="bottom"/>
            <w:tcBorders>
              <w:top w:val="single" w:sz="8" w:color="0000FF"/>
            </w:tcBorders>
            <w:gridSpan w:val="2"/>
          </w:tcPr>
          <w:p>
            <w:pPr>
              <w:spacing w:after="0"/>
              <w:rPr>
                <w:sz w:val="24"/>
                <w:szCs w:val="24"/>
                <w:color w:val="auto"/>
              </w:rPr>
            </w:pPr>
          </w:p>
        </w:tc>
        <w:tc>
          <w:tcPr>
            <w:tcW w:w="440" w:type="dxa"/>
            <w:vAlign w:val="bottom"/>
            <w:gridSpan w:val="14"/>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Purchase Plan, as amended, effective as of August 1,</w:t>
              </w:r>
            </w:hyperlink>
          </w:p>
        </w:tc>
      </w:tr>
      <w:tr>
        <w:trPr>
          <w:trHeight w:val="196"/>
        </w:trPr>
        <w:tc>
          <w:tcPr>
            <w:tcW w:w="1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71">
              <w:r>
                <w:rPr>
                  <w:rFonts w:ascii="Times New Roman" w:cs="Times New Roman" w:eastAsia="Times New Roman" w:hAnsi="Times New Roman"/>
                  <w:sz w:val="18"/>
                  <w:szCs w:val="18"/>
                  <w:color w:val="0000FF"/>
                  <w:w w:val="94"/>
                </w:rPr>
                <w:t>2023</w:t>
              </w:r>
            </w:hyperlink>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10.15.1+</w:t>
            </w:r>
          </w:p>
        </w:tc>
        <w:tc>
          <w:tcPr>
            <w:tcW w:w="39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Non-qualified Share Option Agreement under</w:t>
              </w:r>
            </w:hyperlink>
          </w:p>
        </w:tc>
        <w:tc>
          <w:tcPr>
            <w:tcW w:w="80" w:type="dxa"/>
            <w:vAlign w:val="bottom"/>
            <w:gridSpan w:val="3"/>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4060" w:type="dxa"/>
            <w:vAlign w:val="bottom"/>
            <w:gridSpan w:val="32"/>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the 2014 Equity Plan, effective as of September 20,</w:t>
              </w:r>
            </w:hyperlink>
          </w:p>
        </w:tc>
      </w:tr>
      <w:tr>
        <w:trPr>
          <w:trHeight w:val="196"/>
        </w:trPr>
        <w:tc>
          <w:tcPr>
            <w:tcW w:w="1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72">
              <w:r>
                <w:rPr>
                  <w:rFonts w:ascii="Times New Roman" w:cs="Times New Roman" w:eastAsia="Times New Roman" w:hAnsi="Times New Roman"/>
                  <w:sz w:val="18"/>
                  <w:szCs w:val="18"/>
                  <w:color w:val="0000FF"/>
                  <w:w w:val="94"/>
                </w:rPr>
                <w:t>2016</w:t>
              </w:r>
            </w:hyperlink>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Form 8-K</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01/06/2017</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(Exhibit 10.1)</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Form 8-K</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01/06/2017</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(Exhibit 10.1)</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900"/>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Form 10-K</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03/23/2023</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(Exhibit 10.3)</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846"/>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Form 10-K</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03/23/2023</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(Exhibit 10.4)</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630"/>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Form 10-K</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03/23/2023</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(Exhibit 10.5)</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900"/>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Form S-1</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10/09/2015</w:t>
            </w: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333-207379</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(Exhibit 10.11)</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Form 10-Q</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08/10/2020</w:t>
            </w: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333-207379</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(Exhibit 10.1)</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Form 10-Q</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08/10/2020</w:t>
            </w: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333-207379</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(Exhibit 10.2)</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Form 10-K</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03/23/2023</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(Exhibit 10.12)</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Form 10-K</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03/04/2021</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(Exhibit 10.15)</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Form 10-Q</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11/10/2025</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(Exhibit 10.1)</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657"/>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Form 10-Q</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11/09/2017</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(Exhibit 10.1)</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9"/>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Form 8-K</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08/11/2025</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(Exhibit 10.1)</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9"/>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Form 8-K</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08/07/2023</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(Exhibit 10.2)</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6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Form 10-Q</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11/09/2017</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6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(Exhibit 10.2)</w:t>
            </w:r>
          </w:p>
        </w:tc>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ectPr>
          <w:pgSz w:w="11900" w:h="16838" w:orient="portrait"/>
          <w:cols w:equalWidth="0" w:num="2">
            <w:col w:w="5700" w:space="720"/>
            <w:col w:w="4640"/>
          </w:cols>
          <w:pgMar w:left="320" w:top="972" w:right="519" w:bottom="1440" w:gutter="0" w:footer="0" w:header="0"/>
        </w:sectPr>
      </w:pPr>
    </w:p>
    <w:bookmarkStart w:id="94" w:name="page95"/>
    <w:bookmarkEnd w:id="94"/>
    <w:p>
      <w:pPr>
        <w:ind w:left="1200" w:right="480" w:hanging="1187"/>
        <w:spacing w:after="0" w:line="282"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10.15.2+</w:t>
      </w:r>
      <w:r>
        <w:rPr>
          <w:sz w:val="20"/>
          <w:szCs w:val="20"/>
          <w:color w:val="auto"/>
        </w:rPr>
        <w:tab/>
      </w:r>
      <w:hyperlink r:id="rId174">
        <w:r>
          <w:rPr>
            <w:rFonts w:ascii="Times New Roman" w:cs="Times New Roman" w:eastAsia="Times New Roman" w:hAnsi="Times New Roman"/>
            <w:sz w:val="18"/>
            <w:szCs w:val="18"/>
            <w:u w:val="single" w:color="auto"/>
            <w:color w:val="0000FF"/>
          </w:rPr>
          <w:t>Form of Non-qualified Share Option Agreement under</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the 2014 Equity Plan, effective as of January 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-185420</wp:posOffset>
            </wp:positionV>
            <wp:extent cx="25285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252857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-48260</wp:posOffset>
            </wp:positionV>
            <wp:extent cx="2420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2420620" cy="8890"/>
                    </a:xfrm>
                    <a:prstGeom prst="rect">
                      <a:avLst/>
                    </a:prstGeom>
                    <a:noFill/>
                  </pic:spPr>
                </pic:pic>
              </a:graphicData>
            </a:graphic>
          </wp:anchor>
        </w:drawing>
      </w:r>
    </w:p>
    <w:p>
      <w:pPr>
        <w:spacing w:after="0" w:line="47" w:lineRule="exact"/>
        <w:rPr>
          <w:sz w:val="20"/>
          <w:szCs w:val="20"/>
          <w:color w:val="auto"/>
        </w:rPr>
      </w:pPr>
    </w:p>
    <w:p>
      <w:pPr>
        <w:ind w:left="1200" w:right="480" w:hanging="1187"/>
        <w:spacing w:after="0" w:line="282"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10.15.3+</w:t>
      </w:r>
      <w:r>
        <w:rPr>
          <w:sz w:val="20"/>
          <w:szCs w:val="20"/>
          <w:color w:val="auto"/>
        </w:rPr>
        <w:tab/>
      </w:r>
      <w:hyperlink r:id="rId177">
        <w:r>
          <w:rPr>
            <w:rFonts w:ascii="Times New Roman" w:cs="Times New Roman" w:eastAsia="Times New Roman" w:hAnsi="Times New Roman"/>
            <w:sz w:val="18"/>
            <w:szCs w:val="18"/>
            <w:u w:val="single" w:color="auto"/>
            <w:color w:val="0000FF"/>
          </w:rPr>
          <w:t>Form of Non-qualified Share Option Agreement under</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the 2021 Equity Plan, effective as August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-185420</wp:posOffset>
            </wp:positionV>
            <wp:extent cx="25285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252857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-48260</wp:posOffset>
            </wp:positionV>
            <wp:extent cx="2329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2329180" cy="8255"/>
                    </a:xfrm>
                    <a:prstGeom prst="rect">
                      <a:avLst/>
                    </a:prstGeom>
                    <a:noFill/>
                  </pic:spPr>
                </pic:pic>
              </a:graphicData>
            </a:graphic>
          </wp:anchor>
        </w:drawing>
      </w:r>
    </w:p>
    <w:p>
      <w:pPr>
        <w:spacing w:after="0" w:line="47" w:lineRule="exact"/>
        <w:rPr>
          <w:sz w:val="20"/>
          <w:szCs w:val="20"/>
          <w:color w:val="auto"/>
        </w:rPr>
      </w:pPr>
    </w:p>
    <w:p>
      <w:pPr>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10.16.1+</w:t>
      </w:r>
      <w:r>
        <w:rPr>
          <w:sz w:val="20"/>
          <w:szCs w:val="20"/>
          <w:color w:val="auto"/>
        </w:rPr>
        <w:tab/>
      </w:r>
      <w:hyperlink r:id="rId180">
        <w:r>
          <w:rPr>
            <w:rFonts w:ascii="Times New Roman" w:cs="Times New Roman" w:eastAsia="Times New Roman" w:hAnsi="Times New Roman"/>
            <w:sz w:val="17"/>
            <w:szCs w:val="17"/>
            <w:u w:val="single" w:color="auto"/>
            <w:color w:val="0000FF"/>
          </w:rPr>
          <w:t>Form of Incentive Share Option Agreement under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wp:posOffset>
            </wp:positionV>
            <wp:extent cx="24809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7" w:lineRule="exact"/>
        <w:rPr>
          <w:sz w:val="20"/>
          <w:szCs w:val="20"/>
          <w:color w:val="auto"/>
        </w:rPr>
      </w:pPr>
    </w:p>
    <w:p>
      <w:pPr>
        <w:ind w:left="1200"/>
        <w:spacing w:after="0"/>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2014 Equity Plan, effective as of December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-19050</wp:posOffset>
            </wp:positionV>
            <wp:extent cx="22523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2252345" cy="8255"/>
                    </a:xfrm>
                    <a:prstGeom prst="rect">
                      <a:avLst/>
                    </a:prstGeom>
                    <a:noFill/>
                  </pic:spPr>
                </pic:pic>
              </a:graphicData>
            </a:graphic>
          </wp:anchor>
        </w:drawing>
      </w:r>
    </w:p>
    <w:p>
      <w:pPr>
        <w:spacing w:after="0" w:line="92" w:lineRule="exact"/>
        <w:rPr>
          <w:sz w:val="20"/>
          <w:szCs w:val="20"/>
          <w:color w:val="auto"/>
        </w:rPr>
      </w:pPr>
    </w:p>
    <w:p>
      <w:pPr>
        <w:jc w:val="right"/>
        <w:ind w:right="560"/>
        <w:spacing w:after="0"/>
        <w:tabs>
          <w:tab w:leader="none" w:pos="4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10.16.2+</w:t>
      </w:r>
      <w:r>
        <w:rPr>
          <w:sz w:val="20"/>
          <w:szCs w:val="20"/>
          <w:color w:val="auto"/>
        </w:rPr>
        <w:tab/>
      </w:r>
      <w:hyperlink r:id="rId183">
        <w:r>
          <w:rPr>
            <w:rFonts w:ascii="Times New Roman" w:cs="Times New Roman" w:eastAsia="Times New Roman" w:hAnsi="Times New Roman"/>
            <w:sz w:val="17"/>
            <w:szCs w:val="17"/>
            <w:u w:val="single" w:color="auto"/>
            <w:color w:val="0000FF"/>
          </w:rPr>
          <w:t>Form of Incentive Share Option Agreement under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wp:posOffset>
            </wp:positionV>
            <wp:extent cx="24809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7" w:lineRule="exact"/>
        <w:rPr>
          <w:sz w:val="20"/>
          <w:szCs w:val="20"/>
          <w:color w:val="auto"/>
        </w:rPr>
      </w:pPr>
    </w:p>
    <w:p>
      <w:pPr>
        <w:jc w:val="right"/>
        <w:ind w:right="580"/>
        <w:spacing w:after="0"/>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2014 Equity Plan, effective as of September 20,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-19050</wp:posOffset>
            </wp:positionV>
            <wp:extent cx="24428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2" w:lineRule="exact"/>
        <w:rPr>
          <w:sz w:val="20"/>
          <w:szCs w:val="20"/>
          <w:color w:val="auto"/>
        </w:rPr>
      </w:pPr>
    </w:p>
    <w:p>
      <w:pPr>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10.17.1+</w:t>
      </w:r>
      <w:r>
        <w:rPr>
          <w:sz w:val="20"/>
          <w:szCs w:val="20"/>
          <w:color w:val="auto"/>
        </w:rPr>
        <w:tab/>
      </w:r>
      <w:hyperlink r:id="rId186">
        <w:r>
          <w:rPr>
            <w:rFonts w:ascii="Times New Roman" w:cs="Times New Roman" w:eastAsia="Times New Roman" w:hAnsi="Times New Roman"/>
            <w:sz w:val="17"/>
            <w:szCs w:val="17"/>
            <w:u w:val="single" w:color="auto"/>
            <w:color w:val="0000FF"/>
          </w:rPr>
          <w:t>Form of Restricted Share Unit Agreement under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wp:posOffset>
            </wp:positionV>
            <wp:extent cx="24047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7" w:lineRule="exact"/>
        <w:rPr>
          <w:sz w:val="20"/>
          <w:szCs w:val="20"/>
          <w:color w:val="auto"/>
        </w:rPr>
      </w:pPr>
    </w:p>
    <w:p>
      <w:pPr>
        <w:ind w:left="1200"/>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2014 Equity Plan, effective as of June 16,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-19050</wp:posOffset>
            </wp:positionV>
            <wp:extent cx="21640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2164080" cy="8255"/>
                    </a:xfrm>
                    <a:prstGeom prst="rect">
                      <a:avLst/>
                    </a:prstGeom>
                    <a:noFill/>
                  </pic:spPr>
                </pic:pic>
              </a:graphicData>
            </a:graphic>
          </wp:anchor>
        </w:drawing>
      </w:r>
    </w:p>
    <w:p>
      <w:pPr>
        <w:spacing w:after="0" w:line="92" w:lineRule="exact"/>
        <w:rPr>
          <w:sz w:val="20"/>
          <w:szCs w:val="20"/>
          <w:color w:val="auto"/>
        </w:rPr>
      </w:pPr>
    </w:p>
    <w:p>
      <w:pPr>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10.17.2+</w:t>
      </w:r>
      <w:r>
        <w:rPr>
          <w:sz w:val="20"/>
          <w:szCs w:val="20"/>
          <w:color w:val="auto"/>
        </w:rPr>
        <w:tab/>
      </w:r>
      <w:hyperlink r:id="rId189">
        <w:r>
          <w:rPr>
            <w:rFonts w:ascii="Times New Roman" w:cs="Times New Roman" w:eastAsia="Times New Roman" w:hAnsi="Times New Roman"/>
            <w:sz w:val="17"/>
            <w:szCs w:val="17"/>
            <w:u w:val="single" w:color="auto"/>
            <w:color w:val="0000FF"/>
          </w:rPr>
          <w:t>Form of Restricted Share Unit Agreement under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wp:posOffset>
            </wp:positionV>
            <wp:extent cx="24047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7" w:lineRule="exact"/>
        <w:rPr>
          <w:sz w:val="20"/>
          <w:szCs w:val="20"/>
          <w:color w:val="auto"/>
        </w:rPr>
      </w:pPr>
    </w:p>
    <w:p>
      <w:pPr>
        <w:ind w:left="1200"/>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2014 Equity Plan, effective as of January 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-19050</wp:posOffset>
            </wp:positionV>
            <wp:extent cx="2252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2252980" cy="8255"/>
                    </a:xfrm>
                    <a:prstGeom prst="rect">
                      <a:avLst/>
                    </a:prstGeom>
                    <a:noFill/>
                  </pic:spPr>
                </pic:pic>
              </a:graphicData>
            </a:graphic>
          </wp:anchor>
        </w:drawing>
      </w:r>
    </w:p>
    <w:p>
      <w:pPr>
        <w:spacing w:after="0" w:line="92" w:lineRule="exact"/>
        <w:rPr>
          <w:sz w:val="20"/>
          <w:szCs w:val="20"/>
          <w:color w:val="auto"/>
        </w:rPr>
      </w:pPr>
    </w:p>
    <w:p>
      <w:pPr>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10.17.3+</w:t>
      </w:r>
      <w:r>
        <w:rPr>
          <w:sz w:val="20"/>
          <w:szCs w:val="20"/>
          <w:color w:val="auto"/>
        </w:rPr>
        <w:tab/>
      </w:r>
      <w:hyperlink r:id="rId192">
        <w:r>
          <w:rPr>
            <w:rFonts w:ascii="Times New Roman" w:cs="Times New Roman" w:eastAsia="Times New Roman" w:hAnsi="Times New Roman"/>
            <w:sz w:val="17"/>
            <w:szCs w:val="17"/>
            <w:u w:val="single" w:color="auto"/>
            <w:color w:val="0000FF"/>
          </w:rPr>
          <w:t>Form of Restricted Share Unit Agreement under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wp:posOffset>
            </wp:positionV>
            <wp:extent cx="24047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7" w:lineRule="exact"/>
        <w:rPr>
          <w:sz w:val="20"/>
          <w:szCs w:val="20"/>
          <w:color w:val="auto"/>
        </w:rPr>
      </w:pPr>
    </w:p>
    <w:p>
      <w:pPr>
        <w:ind w:left="1200"/>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2014 Equity Incentive Plan, effective as of January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-19050</wp:posOffset>
            </wp:positionV>
            <wp:extent cx="24777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2477770" cy="8890"/>
                    </a:xfrm>
                    <a:prstGeom prst="rect">
                      <a:avLst/>
                    </a:prstGeom>
                    <a:noFill/>
                  </pic:spPr>
                </pic:pic>
              </a:graphicData>
            </a:graphic>
          </wp:anchor>
        </w:drawing>
      </w:r>
    </w:p>
    <w:p>
      <w:pPr>
        <w:ind w:left="1200"/>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-19050</wp:posOffset>
            </wp:positionV>
            <wp:extent cx="2286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92" w:lineRule="exact"/>
        <w:rPr>
          <w:sz w:val="20"/>
          <w:szCs w:val="20"/>
          <w:color w:val="auto"/>
        </w:rPr>
      </w:pPr>
    </w:p>
    <w:p>
      <w:pPr>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10.17.4+</w:t>
      </w:r>
      <w:r>
        <w:rPr>
          <w:sz w:val="20"/>
          <w:szCs w:val="20"/>
          <w:color w:val="auto"/>
        </w:rPr>
        <w:tab/>
      </w:r>
      <w:hyperlink r:id="rId196">
        <w:r>
          <w:rPr>
            <w:rFonts w:ascii="Times New Roman" w:cs="Times New Roman" w:eastAsia="Times New Roman" w:hAnsi="Times New Roman"/>
            <w:sz w:val="17"/>
            <w:szCs w:val="17"/>
            <w:u w:val="single" w:color="auto"/>
            <w:color w:val="0000FF"/>
          </w:rPr>
          <w:t>Form of Restricted Share Unit Agreement under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wp:posOffset>
            </wp:positionV>
            <wp:extent cx="24047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7" w:lineRule="exact"/>
        <w:rPr>
          <w:sz w:val="20"/>
          <w:szCs w:val="20"/>
          <w:color w:val="auto"/>
        </w:rPr>
      </w:pPr>
    </w:p>
    <w:p>
      <w:pPr>
        <w:ind w:left="1200"/>
        <w:spacing w:after="0"/>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2021 Equity Plan, effective as of August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-19050</wp:posOffset>
            </wp:positionV>
            <wp:extent cx="22847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92" w:lineRule="exact"/>
        <w:rPr>
          <w:sz w:val="20"/>
          <w:szCs w:val="20"/>
          <w:color w:val="auto"/>
        </w:rPr>
      </w:pPr>
    </w:p>
    <w:p>
      <w:pPr>
        <w:ind w:left="1200" w:right="420" w:hanging="1187"/>
        <w:spacing w:after="0" w:line="289"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10.17.5+</w:t>
      </w:r>
      <w:r>
        <w:rPr>
          <w:sz w:val="20"/>
          <w:szCs w:val="20"/>
          <w:color w:val="auto"/>
        </w:rPr>
        <w:tab/>
      </w:r>
      <w:hyperlink r:id="rId199">
        <w:r>
          <w:rPr>
            <w:rFonts w:ascii="Times New Roman" w:cs="Times New Roman" w:eastAsia="Times New Roman" w:hAnsi="Times New Roman"/>
            <w:sz w:val="17"/>
            <w:szCs w:val="17"/>
            <w:u w:val="single" w:color="auto"/>
            <w:color w:val="0000FF"/>
          </w:rPr>
          <w:t>Form of Amended and Restated 2019 Performance-</w:t>
        </w:r>
      </w:hyperlink>
      <w:hyperlink r:id="rId199">
        <w:r>
          <w:rPr>
            <w:rFonts w:ascii="Times New Roman" w:cs="Times New Roman" w:eastAsia="Times New Roman" w:hAnsi="Times New Roman"/>
            <w:sz w:val="17"/>
            <w:szCs w:val="17"/>
            <w:u w:val="single" w:color="auto"/>
            <w:color w:val="0000FF"/>
          </w:rPr>
          <w:t>Based Restricted Share Unit Agreement under the 2014</w:t>
        </w:r>
      </w:hyperlink>
      <w:r>
        <w:rPr>
          <w:rFonts w:ascii="Times New Roman" w:cs="Times New Roman" w:eastAsia="Times New Roman" w:hAnsi="Times New Roman"/>
          <w:sz w:val="17"/>
          <w:szCs w:val="17"/>
          <w:u w:val="single" w:color="auto"/>
          <w:color w:val="0000FF"/>
        </w:rPr>
        <w:t xml:space="preserve"> </w:t>
      </w:r>
      <w:hyperlink r:id="rId199">
        <w:r>
          <w:rPr>
            <w:rFonts w:ascii="Times New Roman" w:cs="Times New Roman" w:eastAsia="Times New Roman" w:hAnsi="Times New Roman"/>
            <w:sz w:val="17"/>
            <w:szCs w:val="17"/>
            <w:u w:val="single" w:color="auto"/>
            <w:color w:val="0000FF"/>
          </w:rPr>
          <w:t>Equity Incentive Plan, effective as of March 17, 2021</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759460</wp:posOffset>
            </wp:positionH>
            <wp:positionV relativeFrom="paragraph">
              <wp:posOffset>-324485</wp:posOffset>
            </wp:positionV>
            <wp:extent cx="23666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236664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-187325</wp:posOffset>
            </wp:positionV>
            <wp:extent cx="25698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256984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-50165</wp:posOffset>
            </wp:positionV>
            <wp:extent cx="24491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2449195" cy="8255"/>
                    </a:xfrm>
                    <a:prstGeom prst="rect">
                      <a:avLst/>
                    </a:prstGeom>
                    <a:noFill/>
                  </pic:spPr>
                </pic:pic>
              </a:graphicData>
            </a:graphic>
          </wp:anchor>
        </w:drawing>
      </w:r>
    </w:p>
    <w:p>
      <w:pPr>
        <w:spacing w:after="0" w:line="43" w:lineRule="exact"/>
        <w:rPr>
          <w:rFonts w:ascii="Times New Roman" w:cs="Times New Roman" w:eastAsia="Times New Roman" w:hAnsi="Times New Roman"/>
          <w:sz w:val="17"/>
          <w:szCs w:val="17"/>
          <w:u w:val="single" w:color="auto"/>
          <w:color w:val="0000FF"/>
        </w:rPr>
      </w:pPr>
    </w:p>
    <w:p>
      <w:pPr>
        <w:ind w:left="1200" w:right="380" w:hanging="118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10.17.6+</w:t>
      </w:r>
      <w:r>
        <w:rPr>
          <w:sz w:val="20"/>
          <w:szCs w:val="20"/>
          <w:color w:val="auto"/>
        </w:rPr>
        <w:tab/>
      </w:r>
      <w:hyperlink r:id="rId203">
        <w:r>
          <w:rPr>
            <w:rFonts w:ascii="Times New Roman" w:cs="Times New Roman" w:eastAsia="Times New Roman" w:hAnsi="Times New Roman"/>
            <w:sz w:val="18"/>
            <w:szCs w:val="18"/>
            <w:u w:val="single" w:color="auto"/>
            <w:color w:val="0000FF"/>
          </w:rPr>
          <w:t>Form of 2021 Performance-Based Restricted Share Unit</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Agreement under the 2014 Equity Incentive Plan,</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effective as of March 17,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759460</wp:posOffset>
            </wp:positionH>
            <wp:positionV relativeFrom="paragraph">
              <wp:posOffset>-313055</wp:posOffset>
            </wp:positionV>
            <wp:extent cx="25888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258889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-175895</wp:posOffset>
            </wp:positionV>
            <wp:extent cx="22967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2296795"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-38735</wp:posOffset>
            </wp:positionV>
            <wp:extent cx="14020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200" w:right="380" w:hanging="118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10.18.1+</w:t>
      </w:r>
      <w:r>
        <w:rPr>
          <w:sz w:val="20"/>
          <w:szCs w:val="20"/>
          <w:color w:val="auto"/>
        </w:rPr>
        <w:tab/>
      </w:r>
      <w:hyperlink r:id="rId207">
        <w:r>
          <w:rPr>
            <w:rFonts w:ascii="Times New Roman" w:cs="Times New Roman" w:eastAsia="Times New Roman" w:hAnsi="Times New Roman"/>
            <w:sz w:val="18"/>
            <w:szCs w:val="18"/>
            <w:u w:val="single" w:color="auto"/>
            <w:color w:val="0000FF"/>
          </w:rPr>
          <w:t>Form of Non-qualified Share Option Agreement for UK</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Participants under the 2014 Equity Plan, effective as of</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June 21, 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759460</wp:posOffset>
            </wp:positionH>
            <wp:positionV relativeFrom="paragraph">
              <wp:posOffset>-313055</wp:posOffset>
            </wp:positionV>
            <wp:extent cx="2588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258889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-175895</wp:posOffset>
            </wp:positionV>
            <wp:extent cx="25507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255079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-38735</wp:posOffset>
            </wp:positionV>
            <wp:extent cx="6375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637540"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200" w:right="380" w:hanging="118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10.18.2+</w:t>
      </w:r>
      <w:r>
        <w:rPr>
          <w:sz w:val="20"/>
          <w:szCs w:val="20"/>
          <w:color w:val="auto"/>
        </w:rPr>
        <w:tab/>
      </w:r>
      <w:hyperlink r:id="rId211">
        <w:r>
          <w:rPr>
            <w:rFonts w:ascii="Times New Roman" w:cs="Times New Roman" w:eastAsia="Times New Roman" w:hAnsi="Times New Roman"/>
            <w:sz w:val="18"/>
            <w:szCs w:val="18"/>
            <w:u w:val="single" w:color="auto"/>
            <w:color w:val="0000FF"/>
          </w:rPr>
          <w:t>Form of Non-qualified Share Option Agreement for UK</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Participants under the 2014 Equity Plan, effective as of</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January 1,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759460</wp:posOffset>
            </wp:positionH>
            <wp:positionV relativeFrom="paragraph">
              <wp:posOffset>-313055</wp:posOffset>
            </wp:positionV>
            <wp:extent cx="25888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2588895"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-175895</wp:posOffset>
            </wp:positionV>
            <wp:extent cx="25507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255079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-38735</wp:posOffset>
            </wp:positionV>
            <wp:extent cx="7264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200" w:right="380" w:hanging="118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10.18.3+</w:t>
      </w:r>
      <w:r>
        <w:rPr>
          <w:sz w:val="20"/>
          <w:szCs w:val="20"/>
          <w:color w:val="auto"/>
        </w:rPr>
        <w:tab/>
      </w:r>
      <w:hyperlink r:id="rId215">
        <w:r>
          <w:rPr>
            <w:rFonts w:ascii="Times New Roman" w:cs="Times New Roman" w:eastAsia="Times New Roman" w:hAnsi="Times New Roman"/>
            <w:sz w:val="18"/>
            <w:szCs w:val="18"/>
            <w:u w:val="single" w:color="auto"/>
            <w:color w:val="0000FF"/>
          </w:rPr>
          <w:t>Form of Non-qualified Share Option Agreement for UK</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Participants under the 2021 Equity Plan, effective as of</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August 10,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759460</wp:posOffset>
            </wp:positionH>
            <wp:positionV relativeFrom="paragraph">
              <wp:posOffset>-313055</wp:posOffset>
            </wp:positionV>
            <wp:extent cx="25888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258889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-175895</wp:posOffset>
            </wp:positionV>
            <wp:extent cx="25507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2550795"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-38735</wp:posOffset>
            </wp:positionV>
            <wp:extent cx="7588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75882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1200" w:right="460" w:hanging="118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10.18.4+</w:t>
      </w:r>
      <w:r>
        <w:rPr>
          <w:sz w:val="20"/>
          <w:szCs w:val="20"/>
          <w:color w:val="auto"/>
        </w:rPr>
        <w:tab/>
      </w:r>
      <w:hyperlink r:id="rId219">
        <w:r>
          <w:rPr>
            <w:rFonts w:ascii="Times New Roman" w:cs="Times New Roman" w:eastAsia="Times New Roman" w:hAnsi="Times New Roman"/>
            <w:sz w:val="18"/>
            <w:szCs w:val="18"/>
            <w:u w:val="single" w:color="auto"/>
            <w:color w:val="0000FF"/>
          </w:rPr>
          <w:t>Form of Restricted Share Unit Agreement for UK</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Participants under the 2021 Equity Plan, effective as of</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August 10,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759460</wp:posOffset>
            </wp:positionH>
            <wp:positionV relativeFrom="paragraph">
              <wp:posOffset>-313055</wp:posOffset>
            </wp:positionV>
            <wp:extent cx="23031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0">
                      <a:extLst>
                        <a:ext uri="{28A0092B-C50C-407E-A947-70E740481C1C}"/>
                      </a:extLst>
                    </a:blip>
                    <a:srcRect/>
                    <a:stretch>
                      <a:fillRect/>
                    </a:stretch>
                  </pic:blipFill>
                  <pic:spPr bwMode="auto">
                    <a:xfrm>
                      <a:off x="0" y="0"/>
                      <a:ext cx="230314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-175895</wp:posOffset>
            </wp:positionV>
            <wp:extent cx="25507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1">
                      <a:extLst>
                        <a:ext uri="{28A0092B-C50C-407E-A947-70E740481C1C}"/>
                      </a:extLst>
                    </a:blip>
                    <a:srcRect/>
                    <a:stretch>
                      <a:fillRect/>
                    </a:stretch>
                  </pic:blipFill>
                  <pic:spPr bwMode="auto">
                    <a:xfrm>
                      <a:off x="0" y="0"/>
                      <a:ext cx="255079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-38735</wp:posOffset>
            </wp:positionV>
            <wp:extent cx="7588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2">
                      <a:extLst>
                        <a:ext uri="{28A0092B-C50C-407E-A947-70E740481C1C}"/>
                      </a:extLst>
                    </a:blip>
                    <a:srcRect/>
                    <a:stretch>
                      <a:fillRect/>
                    </a:stretch>
                  </pic:blipFill>
                  <pic:spPr bwMode="auto">
                    <a:xfrm>
                      <a:off x="0" y="0"/>
                      <a:ext cx="758825"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10.19.1+</w:t>
      </w:r>
      <w:r>
        <w:rPr>
          <w:sz w:val="20"/>
          <w:szCs w:val="20"/>
          <w:color w:val="auto"/>
        </w:rPr>
        <w:tab/>
      </w:r>
      <w:hyperlink r:id="rId223">
        <w:r>
          <w:rPr>
            <w:rFonts w:ascii="Times New Roman" w:cs="Times New Roman" w:eastAsia="Times New Roman" w:hAnsi="Times New Roman"/>
            <w:sz w:val="17"/>
            <w:szCs w:val="17"/>
            <w:u w:val="single" w:color="auto"/>
            <w:color w:val="0000FF"/>
          </w:rPr>
          <w:t>Form of Inducement Non-qualified Share Option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759460</wp:posOffset>
            </wp:positionH>
            <wp:positionV relativeFrom="paragraph">
              <wp:posOffset>-7620</wp:posOffset>
            </wp:positionV>
            <wp:extent cx="22720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2272030" cy="8890"/>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1200"/>
        <w:spacing w:after="0"/>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Agreement, effective May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759460</wp:posOffset>
            </wp:positionH>
            <wp:positionV relativeFrom="paragraph">
              <wp:posOffset>-19050</wp:posOffset>
            </wp:positionV>
            <wp:extent cx="14592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spacing w:after="0" w:line="92" w:lineRule="exact"/>
        <w:rPr>
          <w:rFonts w:ascii="Times New Roman" w:cs="Times New Roman" w:eastAsia="Times New Roman" w:hAnsi="Times New Roman"/>
          <w:sz w:val="18"/>
          <w:szCs w:val="18"/>
          <w:u w:val="single" w:color="auto"/>
          <w:color w:val="0000FF"/>
        </w:rPr>
      </w:pPr>
    </w:p>
    <w:p>
      <w:pPr>
        <w:ind w:left="1200" w:right="460" w:hanging="1187"/>
        <w:spacing w:after="0" w:line="282"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10.19.2+</w:t>
      </w:r>
      <w:r>
        <w:rPr>
          <w:sz w:val="20"/>
          <w:szCs w:val="20"/>
          <w:color w:val="auto"/>
        </w:rPr>
        <w:tab/>
      </w:r>
      <w:hyperlink r:id="rId226">
        <w:r>
          <w:rPr>
            <w:rFonts w:ascii="Times New Roman" w:cs="Times New Roman" w:eastAsia="Times New Roman" w:hAnsi="Times New Roman"/>
            <w:sz w:val="18"/>
            <w:szCs w:val="18"/>
            <w:u w:val="single" w:color="auto"/>
            <w:color w:val="0000FF"/>
          </w:rPr>
          <w:t>Form of Inducement Restricted Share Unit Agreement,</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effective May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-185420</wp:posOffset>
            </wp:positionV>
            <wp:extent cx="25444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254444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-48260</wp:posOffset>
            </wp:positionV>
            <wp:extent cx="8947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47" w:lineRule="exact"/>
        <w:rPr>
          <w:sz w:val="20"/>
          <w:szCs w:val="20"/>
          <w:color w:val="auto"/>
        </w:rPr>
      </w:pPr>
    </w:p>
    <w:p>
      <w:pPr>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10.20.1</w:t>
      </w:r>
      <w:r>
        <w:rPr>
          <w:sz w:val="20"/>
          <w:szCs w:val="20"/>
          <w:color w:val="auto"/>
        </w:rPr>
        <w:tab/>
      </w:r>
      <w:hyperlink r:id="rId229">
        <w:r>
          <w:rPr>
            <w:rFonts w:ascii="Times New Roman" w:cs="Times New Roman" w:eastAsia="Times New Roman" w:hAnsi="Times New Roman"/>
            <w:sz w:val="17"/>
            <w:szCs w:val="17"/>
            <w:u w:val="single" w:color="auto"/>
            <w:color w:val="0000FF"/>
          </w:rPr>
          <w:t>Open Market Sale Agreement, dated as of May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wp:posOffset>
            </wp:positionV>
            <wp:extent cx="23571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1200"/>
        <w:spacing w:after="0"/>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2019, by and between the Registrant and Jefferies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-19050</wp:posOffset>
            </wp:positionV>
            <wp:extent cx="25222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2522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10-K</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03/01/2019</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(Exhibit 10.23.3)</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9"/>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10-K</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11/10/2021</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(Exhibit 10.3)</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9"/>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S-8</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12/17/2015</w:t>
            </w: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333-208598</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9"/>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10-Q</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11/09/2017</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(Exhibit 10.3)</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9"/>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10-Q</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11/09/2017</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(Exhibit 10.4)</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9"/>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10-K</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03/01/2019</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(Exhibit 10.25.2)</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9"/>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10-Q</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05/10/2019</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10-Q</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11/10/2021</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(Exhibit 10.4)</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9"/>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10-Q</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05/13/2021</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(Exhibit 10.2)</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10-Q</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05/13/2021</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(Exhibit 10.3)</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10-Q</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11/09/2017</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(Exhibit 10.5)</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10-K</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03/01/2019</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(Exhibit 10.26.2)</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10-Q</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11/10/2021</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(Exhibit 10.5)</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10-Q</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11/10/2021</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(Exhibit 10.6)</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35"/>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10-Q</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08/08/2024</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9"/>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 10-Q</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08/08/2024</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(Exhibit 10.2)</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9"/>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Form S-3ASR</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05/10/2019</w:t>
            </w: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333-231382</w:t>
            </w:r>
          </w:p>
        </w:tc>
      </w:tr>
      <w:tr>
        <w:trPr>
          <w:trHeight w:val="234"/>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(Exhibit 1.2)</w:t>
            </w: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ectPr>
          <w:pgSz w:w="11900" w:h="16838" w:orient="portrait"/>
          <w:cols w:equalWidth="0" w:num="2">
            <w:col w:w="5620" w:space="720"/>
            <w:col w:w="4720"/>
          </w:cols>
          <w:pgMar w:left="320" w:top="985" w:right="51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10.20.2</w:t>
            </w:r>
          </w:p>
        </w:tc>
        <w:tc>
          <w:tcPr>
            <w:tcW w:w="38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Amendment No. 1 to Open Market Sale Agreement,</w:t>
              </w:r>
            </w:hyperlink>
          </w:p>
        </w:tc>
        <w:tc>
          <w:tcPr>
            <w:tcW w:w="860" w:type="dxa"/>
            <w:vAlign w:val="bottom"/>
            <w:gridSpan w:val="5"/>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POSASR</w:t>
            </w:r>
          </w:p>
        </w:tc>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03/02/2020</w:t>
            </w: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333-231382</w:t>
            </w:r>
          </w:p>
        </w:tc>
      </w:tr>
      <w:tr>
        <w:trPr>
          <w:trHeight w:val="196"/>
        </w:trPr>
        <w:tc>
          <w:tcPr>
            <w:tcW w:w="1200" w:type="dxa"/>
            <w:vAlign w:val="bottom"/>
          </w:tcPr>
          <w:p>
            <w:pPr>
              <w:spacing w:after="0"/>
              <w:rPr>
                <w:sz w:val="17"/>
                <w:szCs w:val="17"/>
                <w:color w:val="auto"/>
              </w:rPr>
            </w:pPr>
          </w:p>
        </w:tc>
        <w:tc>
          <w:tcPr>
            <w:tcW w:w="34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dated as of March 2, 2020, by and between the</w:t>
              </w:r>
            </w:hyperlink>
          </w:p>
        </w:tc>
        <w:tc>
          <w:tcPr>
            <w:tcW w:w="1260" w:type="dxa"/>
            <w:vAlign w:val="bottom"/>
            <w:gridSpan w:val="8"/>
          </w:tcPr>
          <w:p>
            <w:pPr>
              <w:spacing w:after="0"/>
              <w:rPr>
                <w:sz w:val="17"/>
                <w:szCs w:val="17"/>
                <w:color w:val="auto"/>
              </w:rPr>
            </w:pPr>
          </w:p>
        </w:tc>
        <w:tc>
          <w:tcPr>
            <w:tcW w:w="2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(Exhibit 1.3)</w:t>
            </w: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20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233">
              <w:r>
                <w:rPr>
                  <w:rFonts w:ascii="Times New Roman" w:cs="Times New Roman" w:eastAsia="Times New Roman" w:hAnsi="Times New Roman"/>
                  <w:sz w:val="18"/>
                  <w:szCs w:val="18"/>
                  <w:color w:val="0000FF"/>
                  <w:w w:val="98"/>
                </w:rPr>
                <w:t>Registrant and Jefferies LLC</w:t>
              </w:r>
            </w:hyperlink>
          </w:p>
        </w:tc>
        <w:tc>
          <w:tcPr>
            <w:tcW w:w="20" w:type="dxa"/>
            <w:vAlign w:val="bottom"/>
            <w:tcBorders>
              <w:bottom w:val="single" w:sz="8" w:color="0000EE"/>
            </w:tcBorders>
          </w:tcPr>
          <w:p>
            <w:pPr>
              <w:spacing w:after="0"/>
              <w:rPr>
                <w:sz w:val="17"/>
                <w:szCs w:val="17"/>
                <w:color w:val="auto"/>
              </w:rPr>
            </w:pPr>
          </w:p>
        </w:tc>
        <w:tc>
          <w:tcPr>
            <w:tcW w:w="2560" w:type="dxa"/>
            <w:vAlign w:val="bottom"/>
            <w:gridSpan w:val="10"/>
          </w:tcPr>
          <w:p>
            <w:pPr>
              <w:spacing w:after="0"/>
              <w:rPr>
                <w:sz w:val="17"/>
                <w:szCs w:val="17"/>
                <w:color w:val="auto"/>
              </w:rPr>
            </w:pPr>
          </w:p>
        </w:tc>
        <w:tc>
          <w:tcPr>
            <w:tcW w:w="2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10.20.3</w:t>
            </w:r>
          </w:p>
        </w:tc>
        <w:tc>
          <w:tcPr>
            <w:tcW w:w="3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Amendment No. 2, dated March 3, 2022, to the Open</w:t>
              </w:r>
            </w:hyperlink>
          </w:p>
        </w:tc>
        <w:tc>
          <w:tcPr>
            <w:tcW w:w="780" w:type="dxa"/>
            <w:vAlign w:val="bottom"/>
            <w:gridSpan w:val="3"/>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03/03/2022</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196"/>
        </w:trPr>
        <w:tc>
          <w:tcPr>
            <w:tcW w:w="120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Market Sale Agreement, dated as of May 10, 2019, by</w:t>
              </w:r>
            </w:hyperlink>
          </w:p>
        </w:tc>
        <w:tc>
          <w:tcPr>
            <w:tcW w:w="720" w:type="dxa"/>
            <w:vAlign w:val="bottom"/>
            <w:gridSpan w:val="2"/>
          </w:tcPr>
          <w:p>
            <w:pPr>
              <w:spacing w:after="0"/>
              <w:rPr>
                <w:sz w:val="17"/>
                <w:szCs w:val="17"/>
                <w:color w:val="auto"/>
              </w:rPr>
            </w:pPr>
          </w:p>
        </w:tc>
        <w:tc>
          <w:tcPr>
            <w:tcW w:w="2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660" w:type="dxa"/>
            <w:vAlign w:val="bottom"/>
            <w:gridSpan w:val="15"/>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and between Wave Life Sciences Ltd. and Jefferies LLC</w:t>
              </w:r>
            </w:hyperlink>
          </w:p>
        </w:tc>
        <w:tc>
          <w:tcPr>
            <w:tcW w:w="2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10.20.4</w:t>
            </w:r>
          </w:p>
        </w:tc>
        <w:tc>
          <w:tcPr>
            <w:tcW w:w="382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Amendment No. 3, dated November 12, 2024, to the</w:t>
              </w:r>
            </w:hyperlink>
          </w:p>
        </w:tc>
        <w:tc>
          <w:tcPr>
            <w:tcW w:w="240" w:type="dxa"/>
            <w:vAlign w:val="bottom"/>
            <w:tcBorders>
              <w:top w:val="single" w:sz="8" w:color="0000FF"/>
            </w:tcBorders>
            <w:gridSpan w:val="3"/>
          </w:tcPr>
          <w:p>
            <w:pPr>
              <w:spacing w:after="0"/>
              <w:rPr>
                <w:sz w:val="24"/>
                <w:szCs w:val="24"/>
                <w:color w:val="auto"/>
              </w:rPr>
            </w:pPr>
          </w:p>
        </w:tc>
        <w:tc>
          <w:tcPr>
            <w:tcW w:w="6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10-Q</w:t>
            </w:r>
          </w:p>
        </w:tc>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11/12/2024</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196"/>
        </w:trPr>
        <w:tc>
          <w:tcPr>
            <w:tcW w:w="1200" w:type="dxa"/>
            <w:vAlign w:val="bottom"/>
          </w:tcPr>
          <w:p>
            <w:pPr>
              <w:spacing w:after="0"/>
              <w:rPr>
                <w:sz w:val="17"/>
                <w:szCs w:val="17"/>
                <w:color w:val="auto"/>
              </w:rPr>
            </w:pPr>
          </w:p>
        </w:tc>
        <w:tc>
          <w:tcPr>
            <w:tcW w:w="37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Open Market Sale Agreement, dated as of May 10,</w:t>
              </w:r>
            </w:hyperlink>
          </w:p>
        </w:tc>
        <w:tc>
          <w:tcPr>
            <w:tcW w:w="960" w:type="dxa"/>
            <w:vAlign w:val="bottom"/>
            <w:gridSpan w:val="7"/>
          </w:tcPr>
          <w:p>
            <w:pPr>
              <w:spacing w:after="0"/>
              <w:rPr>
                <w:sz w:val="17"/>
                <w:szCs w:val="17"/>
                <w:color w:val="auto"/>
              </w:rPr>
            </w:pPr>
          </w:p>
        </w:tc>
        <w:tc>
          <w:tcPr>
            <w:tcW w:w="2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7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2019, by and between Wave Life Sciences Ltd. and</w:t>
              </w:r>
            </w:hyperlink>
          </w:p>
        </w:tc>
        <w:tc>
          <w:tcPr>
            <w:tcW w:w="920" w:type="dxa"/>
            <w:vAlign w:val="bottom"/>
            <w:gridSpan w:val="6"/>
          </w:tcPr>
          <w:p>
            <w:pPr>
              <w:spacing w:after="0"/>
              <w:rPr>
                <w:sz w:val="17"/>
                <w:szCs w:val="17"/>
                <w:color w:val="auto"/>
              </w:rPr>
            </w:pPr>
          </w:p>
        </w:tc>
        <w:tc>
          <w:tcPr>
            <w:tcW w:w="2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35">
              <w:r>
                <w:rPr>
                  <w:rFonts w:ascii="Times New Roman" w:cs="Times New Roman" w:eastAsia="Times New Roman" w:hAnsi="Times New Roman"/>
                  <w:sz w:val="18"/>
                  <w:szCs w:val="18"/>
                  <w:color w:val="0000FF"/>
                  <w:w w:val="98"/>
                </w:rPr>
                <w:t>Jefferies LLC</w:t>
              </w:r>
            </w:hyperlink>
          </w:p>
        </w:tc>
        <w:tc>
          <w:tcPr>
            <w:tcW w:w="20" w:type="dxa"/>
            <w:vAlign w:val="bottom"/>
            <w:tcBorders>
              <w:bottom w:val="single" w:sz="8" w:color="0000EE"/>
            </w:tcBorders>
          </w:tcPr>
          <w:p>
            <w:pPr>
              <w:spacing w:after="0"/>
              <w:rPr>
                <w:sz w:val="17"/>
                <w:szCs w:val="17"/>
                <w:color w:val="auto"/>
              </w:rPr>
            </w:pPr>
          </w:p>
        </w:tc>
        <w:tc>
          <w:tcPr>
            <w:tcW w:w="3640" w:type="dxa"/>
            <w:vAlign w:val="bottom"/>
            <w:gridSpan w:val="13"/>
          </w:tcPr>
          <w:p>
            <w:pPr>
              <w:spacing w:after="0"/>
              <w:rPr>
                <w:sz w:val="17"/>
                <w:szCs w:val="17"/>
                <w:color w:val="auto"/>
              </w:rPr>
            </w:pPr>
          </w:p>
        </w:tc>
        <w:tc>
          <w:tcPr>
            <w:tcW w:w="2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4660" w:type="dxa"/>
            <w:vAlign w:val="bottom"/>
            <w:gridSpan w:val="15"/>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Insider Trading Policy</w:t>
              </w:r>
            </w:hyperlink>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10-K</w:t>
            </w:r>
          </w:p>
        </w:tc>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03/05/2025</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7"/>
        </w:trPr>
        <w:tc>
          <w:tcPr>
            <w:tcW w:w="120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19.1)</w:t>
            </w:r>
          </w:p>
        </w:tc>
        <w:tc>
          <w:tcPr>
            <w:tcW w:w="17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660" w:type="dxa"/>
            <w:vAlign w:val="bottom"/>
            <w:gridSpan w:val="15"/>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List of Subsidiaries of the Registrant</w:t>
              </w:r>
            </w:hyperlink>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10-K</w:t>
            </w:r>
          </w:p>
        </w:tc>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03/12/2018</w:t>
            </w: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001-37627</w:t>
            </w:r>
          </w:p>
        </w:tc>
      </w:tr>
      <w:tr>
        <w:trPr>
          <w:trHeight w:val="237"/>
        </w:trPr>
        <w:tc>
          <w:tcPr>
            <w:tcW w:w="120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21.1)</w:t>
            </w:r>
          </w:p>
        </w:tc>
        <w:tc>
          <w:tcPr>
            <w:tcW w:w="176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w:t>
            </w:r>
          </w:p>
        </w:tc>
        <w:tc>
          <w:tcPr>
            <w:tcW w:w="120" w:type="dxa"/>
            <w:vAlign w:val="bottom"/>
            <w:gridSpan w:val="3"/>
          </w:tcPr>
          <w:p>
            <w:pPr>
              <w:spacing w:after="0"/>
              <w:rPr>
                <w:sz w:val="17"/>
                <w:szCs w:val="17"/>
                <w:color w:val="auto"/>
              </w:rPr>
            </w:pPr>
          </w:p>
        </w:tc>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Firm</w:t>
            </w:r>
          </w:p>
        </w:tc>
        <w:tc>
          <w:tcPr>
            <w:tcW w:w="2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 to this</w:t>
            </w:r>
          </w:p>
        </w:tc>
        <w:tc>
          <w:tcPr>
            <w:tcW w:w="180" w:type="dxa"/>
            <w:vAlign w:val="bottom"/>
            <w:gridSpan w:val="4"/>
          </w:tcPr>
          <w:p>
            <w:pPr>
              <w:spacing w:after="0"/>
              <w:rPr>
                <w:sz w:val="24"/>
                <w:szCs w:val="24"/>
                <w:color w:val="auto"/>
              </w:rPr>
            </w:pPr>
          </w:p>
        </w:tc>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2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Annual Report on Form 10-K)</w:t>
            </w:r>
          </w:p>
        </w:tc>
        <w:tc>
          <w:tcPr>
            <w:tcW w:w="1880" w:type="dxa"/>
            <w:vAlign w:val="bottom"/>
            <w:gridSpan w:val="8"/>
          </w:tcPr>
          <w:p>
            <w:pPr>
              <w:spacing w:after="0"/>
              <w:rPr>
                <w:sz w:val="17"/>
                <w:szCs w:val="17"/>
                <w:color w:val="auto"/>
              </w:rPr>
            </w:pPr>
          </w:p>
        </w:tc>
        <w:tc>
          <w:tcPr>
            <w:tcW w:w="2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pursuant to</w:t>
            </w:r>
          </w:p>
        </w:tc>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Rule 13a-14(a)</w:t>
            </w:r>
          </w:p>
        </w:tc>
        <w:tc>
          <w:tcPr>
            <w:tcW w:w="2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Certifications of Principal Financial Officer pursuant to</w:t>
            </w:r>
          </w:p>
        </w:tc>
        <w:tc>
          <w:tcPr>
            <w:tcW w:w="40" w:type="dxa"/>
            <w:vAlign w:val="bottom"/>
          </w:tcPr>
          <w:p>
            <w:pPr>
              <w:spacing w:after="0"/>
              <w:rPr>
                <w:sz w:val="24"/>
                <w:szCs w:val="24"/>
                <w:color w:val="auto"/>
              </w:rPr>
            </w:pPr>
          </w:p>
        </w:tc>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Rule 13a-14(a)</w:t>
            </w:r>
          </w:p>
        </w:tc>
        <w:tc>
          <w:tcPr>
            <w:tcW w:w="2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w:t>
            </w:r>
          </w:p>
        </w:tc>
        <w:tc>
          <w:tcPr>
            <w:tcW w:w="300" w:type="dxa"/>
            <w:vAlign w:val="bottom"/>
            <w:gridSpan w:val="5"/>
          </w:tcPr>
          <w:p>
            <w:pPr>
              <w:spacing w:after="0"/>
              <w:rPr>
                <w:sz w:val="24"/>
                <w:szCs w:val="24"/>
                <w:color w:val="auto"/>
              </w:rPr>
            </w:pPr>
          </w:p>
        </w:tc>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0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60" w:type="dxa"/>
            <w:vAlign w:val="bottom"/>
            <w:gridSpan w:val="2"/>
          </w:tcPr>
          <w:p>
            <w:pPr>
              <w:spacing w:after="0"/>
              <w:rPr>
                <w:sz w:val="17"/>
                <w:szCs w:val="17"/>
                <w:color w:val="auto"/>
              </w:rPr>
            </w:pPr>
          </w:p>
        </w:tc>
        <w:tc>
          <w:tcPr>
            <w:tcW w:w="2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35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 by Principal Executive Officer and</w:t>
            </w:r>
          </w:p>
        </w:tc>
        <w:tc>
          <w:tcPr>
            <w:tcW w:w="580" w:type="dxa"/>
            <w:vAlign w:val="bottom"/>
            <w:gridSpan w:val="7"/>
          </w:tcPr>
          <w:p>
            <w:pPr>
              <w:spacing w:after="0"/>
              <w:rPr>
                <w:sz w:val="17"/>
                <w:szCs w:val="17"/>
                <w:color w:val="auto"/>
              </w:rPr>
            </w:pPr>
          </w:p>
        </w:tc>
        <w:tc>
          <w:tcPr>
            <w:tcW w:w="2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w:t>
            </w:r>
          </w:p>
        </w:tc>
        <w:tc>
          <w:tcPr>
            <w:tcW w:w="2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97.1</w:t>
            </w:r>
          </w:p>
        </w:tc>
        <w:tc>
          <w:tcPr>
            <w:tcW w:w="1940" w:type="dxa"/>
            <w:vAlign w:val="bottom"/>
            <w:tcBorders>
              <w:right w:val="single" w:sz="8" w:color="0000EE"/>
            </w:tcBorders>
            <w:gridSpan w:val="3"/>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vMerge w:val="continue"/>
          </w:tcPr>
          <w:p>
            <w:pPr>
              <w:spacing w:after="0"/>
              <w:rPr>
                <w:sz w:val="24"/>
                <w:szCs w:val="24"/>
                <w:color w:val="auto"/>
              </w:rPr>
            </w:pPr>
          </w:p>
        </w:tc>
        <w:tc>
          <w:tcPr>
            <w:tcW w:w="4080" w:type="dxa"/>
            <w:vAlign w:val="bottom"/>
            <w:gridSpan w:val="12"/>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Clawback Policy, effective as of October 2, 2023</w:t>
              </w:r>
            </w:hyperlink>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Form 10-K</w:t>
            </w:r>
          </w:p>
        </w:tc>
        <w:tc>
          <w:tcPr>
            <w:tcW w:w="1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03/06/2024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001-37627</w:t>
            </w: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(Exhibit 97.1)</w:t>
            </w:r>
          </w:p>
        </w:tc>
        <w:tc>
          <w:tcPr>
            <w:tcW w:w="1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w:t>
            </w:r>
            <w:r>
              <w:rPr>
                <w:rFonts w:ascii="Times New Roman" w:cs="Times New Roman" w:eastAsia="Times New Roman" w:hAnsi="Times New Roman"/>
                <w:sz w:val="18"/>
                <w:szCs w:val="18"/>
                <w:color w:val="212529"/>
              </w:rPr>
              <w:t>he Instance Document</w:t>
            </w:r>
          </w:p>
        </w:tc>
        <w:tc>
          <w:tcPr>
            <w:tcW w:w="2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212529"/>
              </w:rPr>
              <w:t>does not appear in the Interactive Data File because its</w:t>
            </w:r>
          </w:p>
        </w:tc>
        <w:tc>
          <w:tcPr>
            <w:tcW w:w="2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212529"/>
              </w:rPr>
              <w:t>XBRL tags are embedded within the Inline XBRL</w:t>
            </w:r>
          </w:p>
        </w:tc>
        <w:tc>
          <w:tcPr>
            <w:tcW w:w="2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212529"/>
              </w:rPr>
              <w:t>document</w:t>
            </w:r>
          </w:p>
        </w:tc>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2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cover page for this Annual Report on Form 10-K</w:t>
            </w:r>
          </w:p>
        </w:tc>
        <w:tc>
          <w:tcPr>
            <w:tcW w:w="2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 the year ended December 31, 2024 is contained in</w:t>
            </w:r>
          </w:p>
        </w:tc>
        <w:tc>
          <w:tcPr>
            <w:tcW w:w="2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Exhibit 101 and has been formatted in Inline XBRL</w:t>
            </w:r>
          </w:p>
        </w:tc>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8"/>
        <w:spacing w:after="0" w:line="266"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 that accompanies this Annual Report on Form 10-K is not deemed filed with the SEC and is not to be incorporated by reference into any filing of Wave Life Sciences Ltd. under the Securities Act of 1933, as amended, or the Securities Exchange Act of 1934, as amended, whether made before or after the date of this Form 10-K, irrespective of any general incorporation language contained in such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Confidential treatment has been granted with respect to certain portions of this exhibit. Omitted portions have been filed separately with the SEC.</w:t>
      </w:r>
    </w:p>
    <w:p>
      <w:pPr>
        <w:spacing w:after="0" w:line="117" w:lineRule="exact"/>
        <w:rPr>
          <w:sz w:val="20"/>
          <w:szCs w:val="20"/>
          <w:color w:val="auto"/>
        </w:rPr>
      </w:pPr>
    </w:p>
    <w:p>
      <w:pPr>
        <w:ind w:right="820" w:firstLine="8"/>
        <w:spacing w:after="0" w:line="282" w:lineRule="auto"/>
        <w:tabs>
          <w:tab w:leader="none" w:pos="3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806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Wave Life Sciences Ltd.</w:t>
            </w:r>
          </w:p>
        </w:tc>
      </w:tr>
      <w:tr>
        <w:trPr>
          <w:trHeight w:val="45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806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By:    /s/ Paul B. Bolno, M.D.</w:t>
            </w:r>
          </w:p>
        </w:tc>
      </w:tr>
      <w:tr>
        <w:trPr>
          <w:trHeight w:val="191"/>
        </w:trPr>
        <w:tc>
          <w:tcPr>
            <w:tcW w:w="31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Paul B. Bolno, M.D.</w:t>
            </w:r>
          </w:p>
        </w:tc>
      </w:tr>
      <w:tr>
        <w:trPr>
          <w:trHeight w:val="234"/>
        </w:trPr>
        <w:tc>
          <w:tcPr>
            <w:tcW w:w="3180" w:type="dxa"/>
            <w:vAlign w:val="bottom"/>
          </w:tcPr>
          <w:p>
            <w:pPr>
              <w:spacing w:after="0"/>
              <w:rPr>
                <w:sz w:val="20"/>
                <w:szCs w:val="20"/>
                <w:color w:val="auto"/>
              </w:rPr>
            </w:pPr>
          </w:p>
        </w:tc>
        <w:tc>
          <w:tcPr>
            <w:tcW w:w="806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59"/>
        </w:trPr>
        <w:tc>
          <w:tcPr>
            <w:tcW w:w="3180" w:type="dxa"/>
            <w:vAlign w:val="bottom"/>
          </w:tcPr>
          <w:p>
            <w:pPr>
              <w:spacing w:after="0"/>
              <w:rPr>
                <w:sz w:val="24"/>
                <w:szCs w:val="24"/>
                <w:color w:val="auto"/>
              </w:rPr>
            </w:pPr>
          </w:p>
        </w:tc>
        <w:tc>
          <w:tcPr>
            <w:tcW w:w="806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Paul B. Bolno, M.D.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attorney-in-fact and agent, full power and authority to do and perform each and every act and thing, ratifying and confirming all that said attorney-in-fact and agent or his substitute or substitutes may lawfully do or cause to be done by virtue thereof.</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55" w:lineRule="exact"/>
        <w:rPr>
          <w:sz w:val="20"/>
          <w:szCs w:val="20"/>
          <w:color w:val="auto"/>
        </w:rPr>
      </w:pPr>
    </w:p>
    <w:p>
      <w:pPr>
        <w:ind w:left="1260"/>
        <w:spacing w:after="0"/>
        <w:tabs>
          <w:tab w:leader="none" w:pos="5500" w:val="left"/>
          <w:tab w:leader="none" w:pos="9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7620</wp:posOffset>
            </wp:positionV>
            <wp:extent cx="69862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 Paul B. Bolno, M.D.</w:t>
      </w: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-127635</wp:posOffset>
            </wp:positionV>
            <wp:extent cx="18599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Kyle Moran</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-127635</wp:posOffset>
            </wp:positionV>
            <wp:extent cx="18599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8"/>
          <w:szCs w:val="18"/>
          <w:color w:val="auto"/>
        </w:rPr>
        <w:t>President, Chief Executive Officer and Director</w:t>
      </w:r>
      <w:r>
        <w:rPr>
          <w:sz w:val="20"/>
          <w:szCs w:val="20"/>
          <w:color w:val="auto"/>
        </w:rPr>
        <w:tab/>
      </w:r>
      <w:r>
        <w:rPr>
          <w:rFonts w:ascii="Times New Roman" w:cs="Times New Roman" w:eastAsia="Times New Roman" w:hAnsi="Times New Roman"/>
          <w:sz w:val="17"/>
          <w:szCs w:val="17"/>
          <w:color w:val="auto"/>
        </w:rPr>
        <w:t>February 26,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8"/>
          <w:szCs w:val="18"/>
          <w:color w:val="auto"/>
        </w:rPr>
        <w:t>Chief Financial Officer</w:t>
      </w:r>
      <w:r>
        <w:rPr>
          <w:sz w:val="20"/>
          <w:szCs w:val="20"/>
          <w:color w:val="auto"/>
        </w:rPr>
        <w:tab/>
      </w:r>
      <w:r>
        <w:rPr>
          <w:rFonts w:ascii="Times New Roman" w:cs="Times New Roman" w:eastAsia="Times New Roman" w:hAnsi="Times New Roman"/>
          <w:sz w:val="17"/>
          <w:szCs w:val="17"/>
          <w:color w:val="auto"/>
        </w:rPr>
        <w:t>February 26,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sectPr>
          <w:pgSz w:w="11900" w:h="16838" w:orient="portrait"/>
          <w:cols w:equalWidth="0" w:num="2">
            <w:col w:w="2460" w:space="720"/>
            <w:col w:w="806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120" w:type="dxa"/>
            <w:vAlign w:val="bottom"/>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Christian Henry</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34"/>
        </w:trPr>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Christian Henry</w:t>
            </w:r>
          </w:p>
        </w:tc>
        <w:tc>
          <w:tcPr>
            <w:tcW w:w="43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326"/>
        </w:trPr>
        <w:tc>
          <w:tcPr>
            <w:tcW w:w="120" w:type="dxa"/>
            <w:vAlign w:val="bottom"/>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L. Verdine, Ph.D.</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34"/>
        </w:trPr>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Gregory L. Verdine, Ph.D.</w:t>
            </w:r>
          </w:p>
        </w:tc>
        <w:tc>
          <w:tcPr>
            <w:tcW w:w="43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326"/>
        </w:trPr>
        <w:tc>
          <w:tcPr>
            <w:tcW w:w="120" w:type="dxa"/>
            <w:vAlign w:val="bottom"/>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Kolchinsky, Ph.D.</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34"/>
        </w:trPr>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Peter Kolchinsky, Ph.D.</w:t>
            </w:r>
          </w:p>
        </w:tc>
        <w:tc>
          <w:tcPr>
            <w:tcW w:w="43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326"/>
        </w:trPr>
        <w:tc>
          <w:tcPr>
            <w:tcW w:w="120" w:type="dxa"/>
            <w:vAlign w:val="bottom"/>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Aik-Na Tan</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34"/>
        </w:trPr>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Aik-Na Tan</w:t>
            </w:r>
          </w:p>
        </w:tc>
        <w:tc>
          <w:tcPr>
            <w:tcW w:w="43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326"/>
        </w:trPr>
        <w:tc>
          <w:tcPr>
            <w:tcW w:w="120" w:type="dxa"/>
            <w:vAlign w:val="bottom"/>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Adrian Rawcliffe</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34"/>
        </w:trPr>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Adrian Rawcliffe</w:t>
            </w:r>
          </w:p>
        </w:tc>
        <w:tc>
          <w:tcPr>
            <w:tcW w:w="43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326"/>
        </w:trPr>
        <w:tc>
          <w:tcPr>
            <w:tcW w:w="120" w:type="dxa"/>
            <w:vAlign w:val="bottom"/>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 Takanashi</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34"/>
        </w:trPr>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Ken Takanashi</w:t>
            </w:r>
          </w:p>
        </w:tc>
        <w:tc>
          <w:tcPr>
            <w:tcW w:w="43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326"/>
        </w:trPr>
        <w:tc>
          <w:tcPr>
            <w:tcW w:w="120" w:type="dxa"/>
            <w:vAlign w:val="bottom"/>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H. N. Corrigan, M.D.</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34"/>
        </w:trPr>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Mark H. N. Corrigan, M.D.</w:t>
            </w:r>
          </w:p>
        </w:tc>
        <w:tc>
          <w:tcPr>
            <w:tcW w:w="43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326"/>
        </w:trPr>
        <w:tc>
          <w:tcPr>
            <w:tcW w:w="120" w:type="dxa"/>
            <w:vAlign w:val="bottom"/>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Heidi L. Wagner</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34"/>
        </w:trPr>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Heidi L. Wagner</w:t>
            </w:r>
          </w:p>
        </w:tc>
        <w:tc>
          <w:tcPr>
            <w:tcW w:w="43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1177"/>
        </w:trPr>
        <w:tc>
          <w:tcPr>
            <w:tcW w:w="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760" w:type="dxa"/>
            <w:vAlign w:val="bottom"/>
          </w:tcPr>
          <w:p>
            <w:pPr>
              <w:spacing w:after="0"/>
              <w:rPr>
                <w:sz w:val="20"/>
                <w:szCs w:val="20"/>
                <w:color w:val="auto"/>
              </w:rPr>
            </w:pPr>
          </w:p>
        </w:tc>
      </w:tr>
      <w:tr>
        <w:trPr>
          <w:trHeight w:val="392"/>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87"/>
              </w:rPr>
              <w:t>F-1</w:t>
            </w:r>
          </w:p>
        </w:tc>
      </w:tr>
      <w:tr>
        <w:trPr>
          <w:trHeight w:val="196"/>
        </w:trPr>
        <w:tc>
          <w:tcPr>
            <w:tcW w:w="2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2100" w:type="dxa"/>
            <w:vAlign w:val="bottom"/>
            <w:tcBorders>
              <w:top w:val="single" w:sz="8" w:color="0000FF"/>
            </w:tcBorders>
            <w:gridSpan w:val="4"/>
          </w:tcPr>
          <w:p>
            <w:pPr>
              <w:spacing w:after="0"/>
              <w:rPr>
                <w:sz w:val="17"/>
                <w:szCs w:val="17"/>
                <w:color w:val="auto"/>
              </w:rPr>
            </w:pPr>
          </w:p>
        </w:tc>
        <w:tc>
          <w:tcPr>
            <w:tcW w:w="5260" w:type="dxa"/>
            <w:vAlign w:val="bottom"/>
            <w:gridSpan w:val="3"/>
          </w:tcPr>
          <w:p>
            <w:pPr>
              <w:spacing w:after="0"/>
              <w:rPr>
                <w:sz w:val="17"/>
                <w:szCs w:val="17"/>
                <w:color w:val="auto"/>
              </w:rPr>
            </w:pPr>
          </w:p>
        </w:tc>
        <w:tc>
          <w:tcPr>
            <w:tcW w:w="17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w w:val="87"/>
              </w:rPr>
              <w:t>F-3</w:t>
            </w:r>
          </w:p>
        </w:tc>
      </w:tr>
      <w:tr>
        <w:trPr>
          <w:trHeight w:val="196"/>
        </w:trPr>
        <w:tc>
          <w:tcPr>
            <w:tcW w:w="9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17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w w:val="87"/>
              </w:rPr>
              <w:t>F-4</w:t>
            </w: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tcBorders>
              <w:right w:val="single" w:sz="8" w:color="0000EE"/>
            </w:tcBorders>
            <w:gridSpan w:val="2"/>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Series A Preferred Shares and Shareholders’ Equity (Deficit)</w:t>
            </w:r>
          </w:p>
        </w:tc>
        <w:tc>
          <w:tcPr>
            <w:tcW w:w="17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w w:val="87"/>
              </w:rPr>
              <w:t>F-5</w:t>
            </w:r>
          </w:p>
        </w:tc>
      </w:tr>
      <w:tr>
        <w:trPr>
          <w:trHeight w:val="196"/>
        </w:trPr>
        <w:tc>
          <w:tcPr>
            <w:tcW w:w="288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3520" w:type="dxa"/>
            <w:vAlign w:val="bottom"/>
            <w:tcBorders>
              <w:top w:val="single" w:sz="8" w:color="0000FF"/>
            </w:tcBorders>
            <w:gridSpan w:val="4"/>
          </w:tcPr>
          <w:p>
            <w:pPr>
              <w:spacing w:after="0"/>
              <w:rPr>
                <w:sz w:val="17"/>
                <w:szCs w:val="17"/>
                <w:color w:val="auto"/>
              </w:rPr>
            </w:pPr>
          </w:p>
        </w:tc>
        <w:tc>
          <w:tcPr>
            <w:tcW w:w="3060" w:type="dxa"/>
            <w:vAlign w:val="bottom"/>
          </w:tcPr>
          <w:p>
            <w:pPr>
              <w:spacing w:after="0"/>
              <w:rPr>
                <w:sz w:val="17"/>
                <w:szCs w:val="17"/>
                <w:color w:val="auto"/>
              </w:rPr>
            </w:pPr>
          </w:p>
        </w:tc>
        <w:tc>
          <w:tcPr>
            <w:tcW w:w="17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w w:val="87"/>
              </w:rPr>
              <w:t>F-6</w:t>
            </w:r>
          </w:p>
        </w:tc>
      </w:tr>
      <w:tr>
        <w:trPr>
          <w:trHeight w:val="196"/>
        </w:trPr>
        <w:tc>
          <w:tcPr>
            <w:tcW w:w="9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w w:val="87"/>
              </w:rPr>
              <w:t>F-7</w:t>
            </w:r>
          </w:p>
        </w:tc>
      </w:tr>
      <w:tr>
        <w:trPr>
          <w:trHeight w:val="1215"/>
        </w:trPr>
        <w:tc>
          <w:tcPr>
            <w:tcW w:w="2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Wave Life Sciences Ltd.: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Wave Life Sciences Ltd. and subsidiaries (the Company) as of December 31, 2025 and 2024, the related consolidated statements of operations and comprehensive loss, Series A preferred shares and shareholders’ equity (deficit),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Evaluation of revenue recognition for certain research and development services</w:t>
      </w:r>
    </w:p>
    <w:p>
      <w:pPr>
        <w:spacing w:after="0" w:line="106" w:lineRule="exact"/>
        <w:rPr>
          <w:sz w:val="20"/>
          <w:szCs w:val="20"/>
          <w:color w:val="auto"/>
        </w:rPr>
      </w:pPr>
    </w:p>
    <w:p>
      <w:pPr>
        <w:ind w:left="380"/>
        <w:spacing w:after="0" w:line="255" w:lineRule="auto"/>
        <w:rPr>
          <w:sz w:val="20"/>
          <w:szCs w:val="20"/>
          <w:color w:val="auto"/>
        </w:rPr>
      </w:pPr>
      <w:r>
        <w:rPr>
          <w:rFonts w:ascii="Times New Roman" w:cs="Times New Roman" w:eastAsia="Times New Roman" w:hAnsi="Times New Roman"/>
          <w:sz w:val="18"/>
          <w:szCs w:val="18"/>
          <w:color w:val="auto"/>
        </w:rPr>
        <w:t>As discussed in Note 5 to the consolidated financial statements, the Company is party to a collaboration agreement with GlaxoSmithKline (GSK) which has several performance obligations, including the promise to provide research and development (R&amp;D) services. The Company recognizes R&amp;D services revenue over time using an input method. This method measures progress based on costs incurred in relation to the R&amp;D activities and the costs expected to be incurred in the future to satisfy each performance obligation. Amounts received by the Company before performance are recorded as deferred revenue. For the year ended December 31, 2025, the Company recognized over-time revenue under the GSK collaboration agreement of $42.7 million. In addition, as of December 31, 2025, a portion of the Company’s current and long-term deferred revenue relates to R&amp;D services.</w:t>
      </w:r>
    </w:p>
    <w:p>
      <w:pPr>
        <w:spacing w:after="0" w:line="148" w:lineRule="exact"/>
        <w:rPr>
          <w:sz w:val="20"/>
          <w:szCs w:val="20"/>
          <w:color w:val="auto"/>
        </w:rPr>
      </w:pPr>
    </w:p>
    <w:p>
      <w:pPr>
        <w:jc w:val="both"/>
        <w:ind w:left="380" w:right="14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revenue recognition for certain R&amp;D services as a critical audit matter. Specifically, evaluating the estimate of total costs expected to be incurred in satisfying certain R&amp;D performance obligations required especially challenging auditor judgment. This involved an assessment of the nature of work to be performed and the method for measuring progress.</w:t>
      </w:r>
    </w:p>
    <w:p>
      <w:pPr>
        <w:spacing w:after="0" w:line="149" w:lineRule="exact"/>
        <w:rPr>
          <w:sz w:val="20"/>
          <w:szCs w:val="20"/>
          <w:color w:val="auto"/>
        </w:rPr>
      </w:pPr>
    </w:p>
    <w:p>
      <w:pPr>
        <w:ind w:left="380" w:right="80"/>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revenue recognition for certain R&amp;D services. This included controls related to the Company’s process to develop and review the estimate of total costs expected to be incurred in satisfying certain R&amp;D performance obligations, including the assessment of the nature of the work to be performed. For a selection of R&amp;D performance obligations, we read the underlying contract with the customer, evaluated the determination of the method for measuring progress, and tested the Company’s estimate of total contract costs to be incurred by (1) comparing the Company’s initial estimates to actual costs incurred to assess the Company’s ability to estimate accurately, (2) inspecting underlying documentation and third-party evidence and comparing them to management’s assumptions and inputs, and (3) inquiring of R&amp;D personnel of the Company to evaluate factors related to the nature of the work to be performed and their impact on the total contract costs to be incurred, including progress to date and the estimate of remaining contract costs.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602,068</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$49,522 and $46,329</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as of December 31, 2025 and 2024, respectively</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638,499</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Series A preferred shares and shareholders’ equity</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112,268</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7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Series A preferred shares, no par value; 3,901,348 shares issued</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60" w:type="dxa"/>
            <w:vAlign w:val="bottom"/>
            <w:shd w:val="clear" w:color="auto" w:fill="CFF0FC"/>
          </w:tcPr>
          <w:p>
            <w:pPr>
              <w:spacing w:after="0"/>
              <w:rPr>
                <w:sz w:val="16"/>
                <w:szCs w:val="16"/>
                <w:color w:val="auto"/>
              </w:rPr>
            </w:pPr>
          </w:p>
        </w:tc>
        <w:tc>
          <w:tcPr>
            <w:tcW w:w="2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outstanding at December 31, 2025 and 2024</w:t>
            </w:r>
          </w:p>
        </w:tc>
        <w:tc>
          <w:tcPr>
            <w:tcW w:w="140" w:type="dxa"/>
            <w:vAlign w:val="bottom"/>
            <w:vMerge w:val="continue"/>
            <w:shd w:val="clear" w:color="auto" w:fill="CFF0FC"/>
          </w:tcPr>
          <w:p>
            <w:pPr>
              <w:spacing w:after="0"/>
              <w:rPr>
                <w:sz w:val="19"/>
                <w:szCs w:val="19"/>
                <w:color w:val="auto"/>
              </w:rPr>
            </w:pPr>
          </w:p>
        </w:tc>
        <w:tc>
          <w:tcPr>
            <w:tcW w:w="14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gridSpan w:val="2"/>
            <w:vMerge w:val="continue"/>
            <w:shd w:val="clear" w:color="auto" w:fill="CFF0FC"/>
          </w:tcPr>
          <w:p>
            <w:pPr>
              <w:spacing w:after="0"/>
              <w:rPr>
                <w:sz w:val="19"/>
                <w:szCs w:val="19"/>
                <w:color w:val="auto"/>
              </w:rPr>
            </w:pPr>
          </w:p>
        </w:tc>
        <w:tc>
          <w:tcPr>
            <w:tcW w:w="14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Ordinary shares, no par value; 187,660,263 and 153,037,286 shares issued</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outstanding at December 31, 2025 and 2024, respectively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1,616,478</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1,175,181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(1,326,236)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(1,121,858)</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518,357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Series A preferred shares and 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638,499</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-3265170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-1567815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108,302</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182,779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159,682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258,110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218,705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181,301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(215,383)</w:t>
            </w: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(67,996)</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income and interest income, net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(204,378)</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(97,008)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(58,190)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(204,378)</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(97,008)</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(57,513)</w:t>
            </w: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ordinary</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(0.70)</w:t>
            </w: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194"/>
        </w:trPr>
        <w:tc>
          <w:tcPr>
            <w:tcW w:w="64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shareholders—basic and diluted</w:t>
            </w:r>
          </w:p>
        </w:tc>
        <w:tc>
          <w:tcPr>
            <w:tcW w:w="28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ordinary shares used in computing</w:t>
            </w:r>
          </w:p>
        </w:tc>
        <w:tc>
          <w:tcPr>
            <w:tcW w:w="2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per share attributable to ordinary</w:t>
            </w:r>
          </w:p>
        </w:tc>
        <w:tc>
          <w:tcPr>
            <w:tcW w:w="28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168,649,795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138,277,468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106,097,268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shareholders—basic and diluted</w:t>
            </w: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(204,378)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(97,008)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(57,513)</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(204,366)</w:t>
            </w: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(57,608)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-3128010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-3128010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-3128010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-2562225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-2562225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-2562225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-2005330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-2005330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-1431290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-1413510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-1431290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-1413510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-1431290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-1413510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-745490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-727710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-745490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-727710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-745490</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-727710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SERIES A PREFERRED SHARES AND SHAREHOLDERS’ EQUITY (DEFICIT)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7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2320" w:type="dxa"/>
            <w:vAlign w:val="bottom"/>
          </w:tcPr>
          <w:p>
            <w:pPr>
              <w:spacing w:after="0"/>
              <w:rPr>
                <w:sz w:val="14"/>
                <w:szCs w:val="14"/>
                <w:color w:val="auto"/>
              </w:rPr>
            </w:pPr>
          </w:p>
        </w:tc>
        <w:tc>
          <w:tcPr>
            <w:tcW w:w="196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5"/>
        </w:trPr>
        <w:tc>
          <w:tcPr>
            <w:tcW w:w="2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8"/>
        </w:trPr>
        <w:tc>
          <w:tcPr>
            <w:tcW w:w="2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e</w:t>
            </w:r>
          </w:p>
        </w:tc>
        <w:tc>
          <w:tcPr>
            <w:tcW w:w="100" w:type="dxa"/>
            <w:vAlign w:val="bottom"/>
          </w:tcPr>
          <w:p>
            <w:pPr>
              <w:spacing w:after="0"/>
              <w:rPr>
                <w:sz w:val="12"/>
                <w:szCs w:val="12"/>
                <w:color w:val="auto"/>
              </w:rPr>
            </w:pPr>
          </w:p>
        </w:tc>
        <w:tc>
          <w:tcPr>
            <w:tcW w:w="1020" w:type="dxa"/>
            <w:vAlign w:val="bottom"/>
            <w:gridSpan w:val="3"/>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Shareholders’</w:t>
            </w:r>
          </w:p>
        </w:tc>
      </w:tr>
      <w:tr>
        <w:trPr>
          <w:trHeight w:val="165"/>
        </w:trPr>
        <w:tc>
          <w:tcPr>
            <w:tcW w:w="2320" w:type="dxa"/>
            <w:vAlign w:val="bottom"/>
          </w:tcPr>
          <w:p>
            <w:pPr>
              <w:spacing w:after="0"/>
              <w:rPr>
                <w:sz w:val="14"/>
                <w:szCs w:val="14"/>
                <w:color w:val="auto"/>
              </w:rPr>
            </w:pP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120" w:type="dxa"/>
            <w:vAlign w:val="bottom"/>
          </w:tcPr>
          <w:p>
            <w:pPr>
              <w:spacing w:after="0"/>
              <w:rPr>
                <w:sz w:val="14"/>
                <w:szCs w:val="14"/>
                <w:color w:val="auto"/>
              </w:rPr>
            </w:pPr>
          </w:p>
        </w:tc>
      </w:tr>
      <w:tr>
        <w:trPr>
          <w:trHeight w:val="182"/>
        </w:trPr>
        <w:tc>
          <w:tcPr>
            <w:tcW w:w="2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3,901,348</w:t>
            </w:r>
          </w:p>
        </w:tc>
        <w:tc>
          <w:tcPr>
            <w:tcW w:w="340" w:type="dxa"/>
            <w:vAlign w:val="bottom"/>
            <w:gridSpan w:val="2"/>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7,874</w:t>
            </w:r>
          </w:p>
        </w:tc>
        <w:tc>
          <w:tcPr>
            <w:tcW w:w="220" w:type="dxa"/>
            <w:vAlign w:val="bottom"/>
            <w:tcBorders>
              <w:right w:val="single" w:sz="8" w:color="auto"/>
            </w:tcBorders>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86,924,643</w:t>
            </w:r>
          </w:p>
        </w:tc>
        <w:tc>
          <w:tcPr>
            <w:tcW w:w="340" w:type="dxa"/>
            <w:vAlign w:val="bottom"/>
            <w:gridSpan w:val="2"/>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802,833</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119,442</w:t>
            </w:r>
          </w:p>
        </w:tc>
        <w:tc>
          <w:tcPr>
            <w:tcW w:w="38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(29)</w:t>
            </w:r>
          </w:p>
        </w:tc>
        <w:tc>
          <w:tcPr>
            <w:tcW w:w="260" w:type="dxa"/>
            <w:vAlign w:val="bottom"/>
            <w:gridSpan w:val="2"/>
            <w:shd w:val="clear" w:color="auto" w:fill="CFF0FC"/>
          </w:tcPr>
          <w:p>
            <w:pPr>
              <w:jc w:val="right"/>
              <w:ind w:right="38"/>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61"/>
              <w:spacing w:after="0" w:line="142" w:lineRule="exact"/>
              <w:rPr>
                <w:sz w:val="20"/>
                <w:szCs w:val="20"/>
                <w:color w:val="auto"/>
              </w:rPr>
            </w:pPr>
            <w:r>
              <w:rPr>
                <w:rFonts w:ascii="Times New Roman" w:cs="Times New Roman" w:eastAsia="Times New Roman" w:hAnsi="Times New Roman"/>
                <w:sz w:val="13"/>
                <w:szCs w:val="13"/>
                <w:color w:val="auto"/>
              </w:rPr>
              <w:t>(967,337)</w:t>
            </w:r>
          </w:p>
        </w:tc>
        <w:tc>
          <w:tcPr>
            <w:tcW w:w="26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(45,091)</w:t>
            </w:r>
          </w:p>
        </w:tc>
      </w:tr>
      <w:tr>
        <w:trPr>
          <w:trHeight w:val="116"/>
        </w:trPr>
        <w:tc>
          <w:tcPr>
            <w:tcW w:w="232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color w:val="auto"/>
              </w:rPr>
              <w:t>Issuance of ordinary shares,</w:t>
            </w: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CFF0FC"/>
              <w:right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r>
      <w:tr>
        <w:trPr>
          <w:trHeight w:val="161"/>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of offering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93,574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93,574</w:t>
            </w:r>
          </w:p>
        </w:tc>
        <w:tc>
          <w:tcPr>
            <w:tcW w:w="120" w:type="dxa"/>
            <w:vAlign w:val="bottom"/>
          </w:tcPr>
          <w:p>
            <w:pPr>
              <w:spacing w:after="0"/>
              <w:rPr>
                <w:sz w:val="14"/>
                <w:szCs w:val="14"/>
                <w:color w:val="auto"/>
              </w:rPr>
            </w:pPr>
          </w:p>
        </w:tc>
      </w:tr>
      <w:tr>
        <w:trPr>
          <w:trHeight w:val="136"/>
        </w:trPr>
        <w:tc>
          <w:tcPr>
            <w:tcW w:w="23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Issuance of ordinary shares, pursuant</w:t>
            </w: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61"/>
        </w:trPr>
        <w:tc>
          <w:tcPr>
            <w:tcW w:w="2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 the GSK Collaboration Agreement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10,683,761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34,623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34,623</w:t>
            </w:r>
          </w:p>
        </w:tc>
        <w:tc>
          <w:tcPr>
            <w:tcW w:w="120" w:type="dxa"/>
            <w:vAlign w:val="bottom"/>
            <w:shd w:val="clear" w:color="auto" w:fill="CFF0FC"/>
          </w:tcPr>
          <w:p>
            <w:pPr>
              <w:spacing w:after="0"/>
              <w:rPr>
                <w:sz w:val="14"/>
                <w:szCs w:val="14"/>
                <w:color w:val="auto"/>
              </w:rPr>
            </w:pPr>
          </w:p>
        </w:tc>
      </w:tr>
      <w:tr>
        <w:trPr>
          <w:trHeight w:val="136"/>
        </w:trPr>
        <w:tc>
          <w:tcPr>
            <w:tcW w:w="23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ordinary shares pursuant to</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the at-the-market equity program, net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751,688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3,080</w:t>
            </w:r>
          </w:p>
        </w:tc>
        <w:tc>
          <w:tcPr>
            <w:tcW w:w="120" w:type="dxa"/>
            <w:vAlign w:val="bottom"/>
          </w:tcPr>
          <w:p>
            <w:pPr>
              <w:spacing w:after="0"/>
              <w:rPr>
                <w:sz w:val="14"/>
                <w:szCs w:val="14"/>
                <w:color w:val="auto"/>
              </w:rPr>
            </w:pPr>
          </w:p>
        </w:tc>
      </w:tr>
      <w:tr>
        <w:trPr>
          <w:trHeight w:val="148"/>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9,795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9,795</w:t>
            </w:r>
          </w:p>
        </w:tc>
        <w:tc>
          <w:tcPr>
            <w:tcW w:w="120" w:type="dxa"/>
            <w:vAlign w:val="bottom"/>
            <w:shd w:val="clear" w:color="auto" w:fill="CFF0FC"/>
          </w:tcPr>
          <w:p>
            <w:pPr>
              <w:spacing w:after="0"/>
              <w:rPr>
                <w:sz w:val="12"/>
                <w:szCs w:val="12"/>
                <w:color w:val="auto"/>
              </w:rPr>
            </w:pPr>
          </w:p>
        </w:tc>
      </w:tr>
      <w:tr>
        <w:trPr>
          <w:trHeight w:val="148"/>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Vesting of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415,658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Option exercises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160,571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120" w:type="dxa"/>
            <w:vAlign w:val="bottom"/>
            <w:shd w:val="clear" w:color="auto" w:fill="CFF0FC"/>
          </w:tcPr>
          <w:p>
            <w:pPr>
              <w:spacing w:after="0"/>
              <w:rPr>
                <w:sz w:val="12"/>
                <w:szCs w:val="12"/>
                <w:color w:val="auto"/>
              </w:rPr>
            </w:pPr>
          </w:p>
        </w:tc>
      </w:tr>
      <w:tr>
        <w:trPr>
          <w:trHeight w:val="136"/>
        </w:trPr>
        <w:tc>
          <w:tcPr>
            <w:tcW w:w="23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ordinary shares</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under the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225,913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120" w:type="dxa"/>
            <w:vAlign w:val="bottom"/>
          </w:tcPr>
          <w:p>
            <w:pPr>
              <w:spacing w:after="0"/>
              <w:rPr>
                <w:sz w:val="14"/>
                <w:szCs w:val="14"/>
                <w:color w:val="auto"/>
              </w:rPr>
            </w:pPr>
          </w:p>
        </w:tc>
      </w:tr>
      <w:tr>
        <w:trPr>
          <w:trHeight w:val="148"/>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(95)</w:t>
            </w:r>
          </w:p>
        </w:tc>
      </w:tr>
      <w:tr>
        <w:trPr>
          <w:trHeight w:val="148"/>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(57,513)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(57,513)</w:t>
            </w:r>
          </w:p>
        </w:tc>
      </w:tr>
      <w:tr>
        <w:trPr>
          <w:trHeight w:val="20"/>
        </w:trPr>
        <w:tc>
          <w:tcPr>
            <w:tcW w:w="2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2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3,901,348</w:t>
            </w:r>
          </w:p>
        </w:tc>
        <w:tc>
          <w:tcPr>
            <w:tcW w:w="340" w:type="dxa"/>
            <w:vAlign w:val="bottom"/>
            <w:gridSpan w:val="2"/>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7,874</w:t>
            </w:r>
          </w:p>
        </w:tc>
        <w:tc>
          <w:tcPr>
            <w:tcW w:w="220" w:type="dxa"/>
            <w:vAlign w:val="bottom"/>
            <w:tcBorders>
              <w:right w:val="single" w:sz="8" w:color="auto"/>
            </w:tcBorders>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119,162,234</w:t>
            </w:r>
          </w:p>
        </w:tc>
        <w:tc>
          <w:tcPr>
            <w:tcW w:w="340" w:type="dxa"/>
            <w:vAlign w:val="bottom"/>
            <w:gridSpan w:val="2"/>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935,367</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129,237</w:t>
            </w:r>
          </w:p>
        </w:tc>
        <w:tc>
          <w:tcPr>
            <w:tcW w:w="38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(124)</w:t>
            </w:r>
          </w:p>
        </w:tc>
        <w:tc>
          <w:tcPr>
            <w:tcW w:w="260" w:type="dxa"/>
            <w:vAlign w:val="bottom"/>
            <w:gridSpan w:val="2"/>
            <w:shd w:val="clear" w:color="auto" w:fill="CFF0FC"/>
          </w:tcPr>
          <w:p>
            <w:pPr>
              <w:jc w:val="right"/>
              <w:ind w:right="38"/>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61"/>
              <w:spacing w:after="0" w:line="142" w:lineRule="exact"/>
              <w:rPr>
                <w:sz w:val="20"/>
                <w:szCs w:val="20"/>
                <w:color w:val="auto"/>
              </w:rPr>
            </w:pPr>
            <w:r>
              <w:rPr>
                <w:rFonts w:ascii="Times New Roman" w:cs="Times New Roman" w:eastAsia="Times New Roman" w:hAnsi="Times New Roman"/>
                <w:sz w:val="13"/>
                <w:szCs w:val="13"/>
                <w:color w:val="auto"/>
              </w:rPr>
              <w:t>(1,024,850)</w:t>
            </w:r>
          </w:p>
        </w:tc>
        <w:tc>
          <w:tcPr>
            <w:tcW w:w="26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39,630</w:t>
            </w:r>
          </w:p>
        </w:tc>
        <w:tc>
          <w:tcPr>
            <w:tcW w:w="120" w:type="dxa"/>
            <w:vAlign w:val="bottom"/>
            <w:shd w:val="clear" w:color="auto" w:fill="CFF0FC"/>
          </w:tcPr>
          <w:p>
            <w:pPr>
              <w:spacing w:after="0"/>
              <w:rPr>
                <w:sz w:val="15"/>
                <w:szCs w:val="15"/>
                <w:color w:val="auto"/>
              </w:rPr>
            </w:pPr>
          </w:p>
        </w:tc>
      </w:tr>
      <w:tr>
        <w:trPr>
          <w:trHeight w:val="116"/>
        </w:trPr>
        <w:tc>
          <w:tcPr>
            <w:tcW w:w="232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color w:val="auto"/>
              </w:rPr>
              <w:t>Issuance of ordinary shares,</w:t>
            </w: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CFF0FC"/>
              <w:right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r>
      <w:tr>
        <w:trPr>
          <w:trHeight w:val="161"/>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of offering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29,875,001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215,796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215,796</w:t>
            </w:r>
          </w:p>
        </w:tc>
        <w:tc>
          <w:tcPr>
            <w:tcW w:w="120" w:type="dxa"/>
            <w:vAlign w:val="bottom"/>
          </w:tcPr>
          <w:p>
            <w:pPr>
              <w:spacing w:after="0"/>
              <w:rPr>
                <w:sz w:val="14"/>
                <w:szCs w:val="14"/>
                <w:color w:val="auto"/>
              </w:rPr>
            </w:pPr>
          </w:p>
        </w:tc>
      </w:tr>
      <w:tr>
        <w:trPr>
          <w:trHeight w:val="136"/>
        </w:trPr>
        <w:tc>
          <w:tcPr>
            <w:tcW w:w="23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Issuance of ordinary shares pursuant to</w:t>
            </w: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61"/>
        </w:trPr>
        <w:tc>
          <w:tcPr>
            <w:tcW w:w="2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the at-the-market equity program, net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2,952,591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20,380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20,380</w:t>
            </w:r>
          </w:p>
        </w:tc>
        <w:tc>
          <w:tcPr>
            <w:tcW w:w="120" w:type="dxa"/>
            <w:vAlign w:val="bottom"/>
            <w:shd w:val="clear" w:color="auto" w:fill="CFF0FC"/>
          </w:tcPr>
          <w:p>
            <w:pPr>
              <w:spacing w:after="0"/>
              <w:rPr>
                <w:sz w:val="14"/>
                <w:szCs w:val="14"/>
                <w:color w:val="auto"/>
              </w:rPr>
            </w:pPr>
          </w:p>
        </w:tc>
      </w:tr>
      <w:tr>
        <w:trPr>
          <w:trHeight w:val="136"/>
        </w:trPr>
        <w:tc>
          <w:tcPr>
            <w:tcW w:w="23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pre-funded warrants,</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of offering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14,076</w:t>
            </w:r>
          </w:p>
        </w:tc>
        <w:tc>
          <w:tcPr>
            <w:tcW w:w="120" w:type="dxa"/>
            <w:vAlign w:val="bottom"/>
          </w:tcPr>
          <w:p>
            <w:pPr>
              <w:spacing w:after="0"/>
              <w:rPr>
                <w:sz w:val="14"/>
                <w:szCs w:val="14"/>
                <w:color w:val="auto"/>
              </w:rPr>
            </w:pPr>
          </w:p>
        </w:tc>
      </w:tr>
      <w:tr>
        <w:trPr>
          <w:trHeight w:val="148"/>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13,141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13,141</w:t>
            </w:r>
          </w:p>
        </w:tc>
        <w:tc>
          <w:tcPr>
            <w:tcW w:w="120" w:type="dxa"/>
            <w:vAlign w:val="bottom"/>
            <w:shd w:val="clear" w:color="auto" w:fill="CFF0FC"/>
          </w:tcPr>
          <w:p>
            <w:pPr>
              <w:spacing w:after="0"/>
              <w:rPr>
                <w:sz w:val="12"/>
                <w:szCs w:val="12"/>
                <w:color w:val="auto"/>
              </w:rPr>
            </w:pPr>
          </w:p>
        </w:tc>
      </w:tr>
      <w:tr>
        <w:trPr>
          <w:trHeight w:val="149"/>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Vesting of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100,326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Option exercises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770,636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2,979</w:t>
            </w:r>
          </w:p>
        </w:tc>
        <w:tc>
          <w:tcPr>
            <w:tcW w:w="120" w:type="dxa"/>
            <w:vAlign w:val="bottom"/>
            <w:shd w:val="clear" w:color="auto" w:fill="CFF0FC"/>
          </w:tcPr>
          <w:p>
            <w:pPr>
              <w:spacing w:after="0"/>
              <w:rPr>
                <w:sz w:val="12"/>
                <w:szCs w:val="12"/>
                <w:color w:val="auto"/>
              </w:rPr>
            </w:pPr>
          </w:p>
        </w:tc>
      </w:tr>
      <w:tr>
        <w:trPr>
          <w:trHeight w:val="136"/>
        </w:trPr>
        <w:tc>
          <w:tcPr>
            <w:tcW w:w="23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ordinary shares</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under the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176,498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20" w:type="dxa"/>
            <w:vAlign w:val="bottom"/>
          </w:tcPr>
          <w:p>
            <w:pPr>
              <w:spacing w:after="0"/>
              <w:rPr>
                <w:sz w:val="14"/>
                <w:szCs w:val="14"/>
                <w:color w:val="auto"/>
              </w:rPr>
            </w:pPr>
          </w:p>
        </w:tc>
      </w:tr>
      <w:tr>
        <w:trPr>
          <w:trHeight w:val="14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(138)</w:t>
            </w:r>
          </w:p>
        </w:tc>
      </w:tr>
      <w:tr>
        <w:trPr>
          <w:trHeight w:val="148"/>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(97,008)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(97,008)</w:t>
            </w:r>
          </w:p>
        </w:tc>
      </w:tr>
      <w:tr>
        <w:trPr>
          <w:trHeight w:val="20"/>
        </w:trPr>
        <w:tc>
          <w:tcPr>
            <w:tcW w:w="2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2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3,901,348</w:t>
            </w:r>
          </w:p>
        </w:tc>
        <w:tc>
          <w:tcPr>
            <w:tcW w:w="340" w:type="dxa"/>
            <w:vAlign w:val="bottom"/>
            <w:gridSpan w:val="2"/>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7,874</w:t>
            </w:r>
          </w:p>
        </w:tc>
        <w:tc>
          <w:tcPr>
            <w:tcW w:w="220" w:type="dxa"/>
            <w:vAlign w:val="bottom"/>
            <w:tcBorders>
              <w:right w:val="single" w:sz="8" w:color="auto"/>
            </w:tcBorders>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153,037,286</w:t>
            </w:r>
          </w:p>
        </w:tc>
        <w:tc>
          <w:tcPr>
            <w:tcW w:w="340" w:type="dxa"/>
            <w:vAlign w:val="bottom"/>
            <w:gridSpan w:val="2"/>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1,175,181</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156,454</w:t>
            </w:r>
          </w:p>
        </w:tc>
        <w:tc>
          <w:tcPr>
            <w:tcW w:w="38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(262)</w:t>
            </w:r>
          </w:p>
        </w:tc>
        <w:tc>
          <w:tcPr>
            <w:tcW w:w="260" w:type="dxa"/>
            <w:vAlign w:val="bottom"/>
            <w:gridSpan w:val="2"/>
            <w:shd w:val="clear" w:color="auto" w:fill="CFF0FC"/>
          </w:tcPr>
          <w:p>
            <w:pPr>
              <w:jc w:val="right"/>
              <w:ind w:right="38"/>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61"/>
              <w:spacing w:after="0" w:line="142" w:lineRule="exact"/>
              <w:rPr>
                <w:sz w:val="20"/>
                <w:szCs w:val="20"/>
                <w:color w:val="auto"/>
              </w:rPr>
            </w:pPr>
            <w:r>
              <w:rPr>
                <w:rFonts w:ascii="Times New Roman" w:cs="Times New Roman" w:eastAsia="Times New Roman" w:hAnsi="Times New Roman"/>
                <w:sz w:val="13"/>
                <w:szCs w:val="13"/>
                <w:color w:val="auto"/>
              </w:rPr>
              <w:t>(1,121,858)</w:t>
            </w:r>
          </w:p>
        </w:tc>
        <w:tc>
          <w:tcPr>
            <w:tcW w:w="26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209,515</w:t>
            </w:r>
          </w:p>
        </w:tc>
        <w:tc>
          <w:tcPr>
            <w:tcW w:w="120" w:type="dxa"/>
            <w:vAlign w:val="bottom"/>
            <w:shd w:val="clear" w:color="auto" w:fill="CFF0FC"/>
          </w:tcPr>
          <w:p>
            <w:pPr>
              <w:spacing w:after="0"/>
              <w:rPr>
                <w:sz w:val="15"/>
                <w:szCs w:val="15"/>
                <w:color w:val="auto"/>
              </w:rPr>
            </w:pPr>
          </w:p>
        </w:tc>
      </w:tr>
      <w:tr>
        <w:trPr>
          <w:trHeight w:val="116"/>
        </w:trPr>
        <w:tc>
          <w:tcPr>
            <w:tcW w:w="232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color w:val="auto"/>
              </w:rPr>
              <w:t>Issuance of ordinary shares,</w:t>
            </w: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CFF0FC"/>
              <w:right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r>
      <w:tr>
        <w:trPr>
          <w:trHeight w:val="161"/>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of offering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18,552,632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330,912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330,912</w:t>
            </w:r>
          </w:p>
        </w:tc>
        <w:tc>
          <w:tcPr>
            <w:tcW w:w="120" w:type="dxa"/>
            <w:vAlign w:val="bottom"/>
          </w:tcPr>
          <w:p>
            <w:pPr>
              <w:spacing w:after="0"/>
              <w:rPr>
                <w:sz w:val="14"/>
                <w:szCs w:val="14"/>
                <w:color w:val="auto"/>
              </w:rPr>
            </w:pPr>
          </w:p>
        </w:tc>
      </w:tr>
      <w:tr>
        <w:trPr>
          <w:trHeight w:val="136"/>
        </w:trPr>
        <w:tc>
          <w:tcPr>
            <w:tcW w:w="23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Issuance of ordinary shares pursuant to</w:t>
            </w: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61"/>
        </w:trPr>
        <w:tc>
          <w:tcPr>
            <w:tcW w:w="2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the at-the-market equity program, net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12,226,623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94,636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94,636</w:t>
            </w:r>
          </w:p>
        </w:tc>
        <w:tc>
          <w:tcPr>
            <w:tcW w:w="120" w:type="dxa"/>
            <w:vAlign w:val="bottom"/>
            <w:shd w:val="clear" w:color="auto" w:fill="CFF0FC"/>
          </w:tcPr>
          <w:p>
            <w:pPr>
              <w:spacing w:after="0"/>
              <w:rPr>
                <w:sz w:val="14"/>
                <w:szCs w:val="14"/>
                <w:color w:val="auto"/>
              </w:rPr>
            </w:pPr>
          </w:p>
        </w:tc>
      </w:tr>
      <w:tr>
        <w:trPr>
          <w:trHeight w:val="136"/>
        </w:trPr>
        <w:tc>
          <w:tcPr>
            <w:tcW w:w="23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pre-funded warrants,</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of offering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46,938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46,938</w:t>
            </w:r>
          </w:p>
        </w:tc>
        <w:tc>
          <w:tcPr>
            <w:tcW w:w="120" w:type="dxa"/>
            <w:vAlign w:val="bottom"/>
          </w:tcPr>
          <w:p>
            <w:pPr>
              <w:spacing w:after="0"/>
              <w:rPr>
                <w:sz w:val="14"/>
                <w:szCs w:val="14"/>
                <w:color w:val="auto"/>
              </w:rPr>
            </w:pPr>
          </w:p>
        </w:tc>
      </w:tr>
      <w:tr>
        <w:trPr>
          <w:trHeight w:val="14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24,973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24,973</w:t>
            </w:r>
          </w:p>
        </w:tc>
        <w:tc>
          <w:tcPr>
            <w:tcW w:w="120" w:type="dxa"/>
            <w:vAlign w:val="bottom"/>
            <w:shd w:val="clear" w:color="auto" w:fill="CFF0FC"/>
          </w:tcPr>
          <w:p>
            <w:pPr>
              <w:spacing w:after="0"/>
              <w:rPr>
                <w:sz w:val="12"/>
                <w:szCs w:val="12"/>
                <w:color w:val="auto"/>
              </w:rPr>
            </w:pPr>
          </w:p>
        </w:tc>
      </w:tr>
      <w:tr>
        <w:trPr>
          <w:trHeight w:val="148"/>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Vesting of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262,218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Option exercises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3,428,883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14,868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14,868</w:t>
            </w:r>
          </w:p>
        </w:tc>
        <w:tc>
          <w:tcPr>
            <w:tcW w:w="120" w:type="dxa"/>
            <w:vAlign w:val="bottom"/>
            <w:shd w:val="clear" w:color="auto" w:fill="CFF0FC"/>
          </w:tcPr>
          <w:p>
            <w:pPr>
              <w:spacing w:after="0"/>
              <w:rPr>
                <w:sz w:val="12"/>
                <w:szCs w:val="12"/>
                <w:color w:val="auto"/>
              </w:rPr>
            </w:pPr>
          </w:p>
        </w:tc>
      </w:tr>
      <w:tr>
        <w:trPr>
          <w:trHeight w:val="136"/>
        </w:trPr>
        <w:tc>
          <w:tcPr>
            <w:tcW w:w="23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ordinary shares</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under the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152,621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120" w:type="dxa"/>
            <w:vAlign w:val="bottom"/>
          </w:tcPr>
          <w:p>
            <w:pPr>
              <w:spacing w:after="0"/>
              <w:rPr>
                <w:sz w:val="14"/>
                <w:szCs w:val="14"/>
                <w:color w:val="auto"/>
              </w:rPr>
            </w:pPr>
          </w:p>
        </w:tc>
      </w:tr>
      <w:tr>
        <w:trPr>
          <w:trHeight w:val="148"/>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FF0FC"/>
          </w:tcPr>
          <w:p>
            <w:pPr>
              <w:spacing w:after="0"/>
              <w:rPr>
                <w:sz w:val="12"/>
                <w:szCs w:val="12"/>
                <w:color w:val="auto"/>
              </w:rPr>
            </w:pPr>
          </w:p>
        </w:tc>
      </w:tr>
      <w:tr>
        <w:trPr>
          <w:trHeight w:val="149"/>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(204,378)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(204,378)</w:t>
            </w:r>
          </w:p>
        </w:tc>
      </w:tr>
      <w:tr>
        <w:trPr>
          <w:trHeight w:val="182"/>
        </w:trPr>
        <w:tc>
          <w:tcPr>
            <w:tcW w:w="23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3,901,348</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7,874</w:t>
            </w:r>
          </w:p>
        </w:tc>
        <w:tc>
          <w:tcPr>
            <w:tcW w:w="220" w:type="dxa"/>
            <w:vAlign w:val="bottom"/>
            <w:tcBorders>
              <w:bottom w:val="single" w:sz="8" w:color="CFF0FC"/>
              <w:right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187,660,263</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1,616,478</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228,365</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(250)</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(1,326,236</w:t>
            </w:r>
          </w:p>
        </w:tc>
        <w:tc>
          <w:tcPr>
            <w:tcW w:w="14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518,357</w:t>
            </w:r>
          </w:p>
        </w:tc>
        <w:tc>
          <w:tcPr>
            <w:tcW w:w="12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-4088130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-4071620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-4088130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-4071620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-4088130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-4071620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-4088130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-4071620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-4088130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-4071620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-4088130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-4071620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-4088130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-4071620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-4088130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-4071620</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-2734310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-2716530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-2734310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-2716530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-2734310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-2716530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-2734310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-2716530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-2734310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-2716530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-2734310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-2716530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-2734310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-2716530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-2734310</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-2716530</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-1379220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-1362075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-1379220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-1362075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-1379220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-1362075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-1379220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-1362075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-1379220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-1362075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-1379220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-1362075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-1379220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-1362075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-1379220</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-8255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9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(204,378)</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(97,008)</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(57,513)</w:t>
            </w:r>
          </w:p>
        </w:tc>
      </w:tr>
      <w:tr>
        <w:trPr>
          <w:trHeight w:val="20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(used in) operating activities:</w:t>
            </w: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5,412</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4,767</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4,206</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3,440</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3,896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24,973</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9,795</w:t>
            </w:r>
          </w:p>
        </w:tc>
        <w:tc>
          <w:tcPr>
            <w:tcW w:w="100" w:type="dxa"/>
            <w:vAlign w:val="bottom"/>
          </w:tcPr>
          <w:p>
            <w:pPr>
              <w:spacing w:after="0"/>
              <w:rPr>
                <w:sz w:val="17"/>
                <w:szCs w:val="17"/>
                <w:color w:val="auto"/>
              </w:rPr>
            </w:pPr>
          </w:p>
        </w:tc>
      </w:tr>
      <w:tr>
        <w:trPr>
          <w:trHeight w:val="203"/>
        </w:trPr>
        <w:tc>
          <w:tcPr>
            <w:tcW w:w="5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19,664</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(21,086)</w:t>
            </w:r>
          </w:p>
        </w:tc>
      </w:tr>
      <w:tr>
        <w:trPr>
          <w:trHeight w:val="203"/>
        </w:trPr>
        <w:tc>
          <w:tcPr>
            <w:tcW w:w="5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Prepaid expenses</w:t>
            </w: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(1,980)</w:t>
            </w:r>
          </w:p>
        </w:tc>
      </w:tr>
      <w:tr>
        <w:trPr>
          <w:trHeight w:val="203"/>
        </w:trPr>
        <w:tc>
          <w:tcPr>
            <w:tcW w:w="5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4,314</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(3,225)</w:t>
            </w: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(2,010)</w:t>
            </w:r>
          </w:p>
        </w:tc>
      </w:tr>
      <w:tr>
        <w:trPr>
          <w:trHeight w:val="203"/>
        </w:trPr>
        <w:tc>
          <w:tcPr>
            <w:tcW w:w="5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9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(561)</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3,421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(3,761)</w:t>
            </w:r>
          </w:p>
        </w:tc>
      </w:tr>
      <w:tr>
        <w:trPr>
          <w:trHeight w:val="203"/>
        </w:trPr>
        <w:tc>
          <w:tcPr>
            <w:tcW w:w="5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5,483</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(724)</w:t>
            </w:r>
          </w:p>
        </w:tc>
      </w:tr>
      <w:tr>
        <w:trPr>
          <w:trHeight w:val="203"/>
        </w:trPr>
        <w:tc>
          <w:tcPr>
            <w:tcW w:w="5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9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(19,833)</w:t>
            </w: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(93,589)</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54,328</w:t>
            </w:r>
          </w:p>
        </w:tc>
        <w:tc>
          <w:tcPr>
            <w:tcW w:w="100" w:type="dxa"/>
            <w:vAlign w:val="bottom"/>
            <w:shd w:val="clear" w:color="auto" w:fill="CFF0FC"/>
          </w:tcPr>
          <w:p>
            <w:pPr>
              <w:spacing w:after="0"/>
              <w:rPr>
                <w:sz w:val="17"/>
                <w:szCs w:val="17"/>
                <w:color w:val="auto"/>
              </w:rPr>
            </w:pPr>
          </w:p>
        </w:tc>
      </w:tr>
      <w:tr>
        <w:trPr>
          <w:trHeight w:val="202"/>
        </w:trPr>
        <w:tc>
          <w:tcPr>
            <w:tcW w:w="5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(7,638)</w:t>
            </w:r>
          </w:p>
        </w:tc>
        <w:tc>
          <w:tcPr>
            <w:tcW w:w="34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(6,714)</w:t>
            </w: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(5,496)</w:t>
            </w:r>
          </w:p>
        </w:tc>
      </w:tr>
      <w:tr>
        <w:trPr>
          <w:trHeight w:val="203"/>
        </w:trPr>
        <w:tc>
          <w:tcPr>
            <w:tcW w:w="5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(190)</w:t>
            </w:r>
          </w:p>
        </w:tc>
      </w:tr>
      <w:tr>
        <w:trPr>
          <w:trHeight w:val="20"/>
        </w:trPr>
        <w:tc>
          <w:tcPr>
            <w:tcW w:w="59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(187,493)</w:t>
            </w:r>
          </w:p>
        </w:tc>
        <w:tc>
          <w:tcPr>
            <w:tcW w:w="34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(151,026)</w:t>
            </w: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(19,431)</w:t>
            </w:r>
          </w:p>
        </w:tc>
      </w:tr>
      <w:tr>
        <w:trPr>
          <w:trHeight w:val="19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9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(718)</w:t>
            </w:r>
          </w:p>
        </w:tc>
        <w:tc>
          <w:tcPr>
            <w:tcW w:w="34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(938)</w:t>
            </w: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(1,115)</w:t>
            </w:r>
          </w:p>
        </w:tc>
      </w:tr>
      <w:tr>
        <w:trPr>
          <w:trHeight w:val="20"/>
        </w:trPr>
        <w:tc>
          <w:tcPr>
            <w:tcW w:w="5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(718)</w:t>
            </w: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(938)</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(1,115)</w:t>
            </w:r>
          </w:p>
        </w:tc>
      </w:tr>
      <w:tr>
        <w:trPr>
          <w:trHeight w:val="196"/>
        </w:trPr>
        <w:tc>
          <w:tcPr>
            <w:tcW w:w="5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181"/>
        </w:trPr>
        <w:tc>
          <w:tcPr>
            <w:tcW w:w="59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7"/>
                <w:szCs w:val="17"/>
                <w:color w:val="auto"/>
              </w:rPr>
              <w:t>Proceeds from the issuance of ordinary shares as a part of the</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December 2023 Offering, net of offering costs</w:t>
            </w:r>
          </w:p>
        </w:tc>
        <w:tc>
          <w:tcPr>
            <w:tcW w:w="9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14,038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93,574</w:t>
            </w:r>
          </w:p>
        </w:tc>
        <w:tc>
          <w:tcPr>
            <w:tcW w:w="100" w:type="dxa"/>
            <w:vAlign w:val="bottom"/>
            <w:shd w:val="clear" w:color="auto" w:fill="CFF0FC"/>
          </w:tcPr>
          <w:p>
            <w:pPr>
              <w:spacing w:after="0"/>
              <w:rPr>
                <w:sz w:val="19"/>
                <w:szCs w:val="19"/>
                <w:color w:val="auto"/>
              </w:rPr>
            </w:pPr>
          </w:p>
        </w:tc>
      </w:tr>
      <w:tr>
        <w:trPr>
          <w:trHeight w:val="181"/>
        </w:trPr>
        <w:tc>
          <w:tcPr>
            <w:tcW w:w="59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Proceeds from the issuance of ordinary shares as a part of the</w:t>
            </w: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September 2024 Offering, net of offering costs</w:t>
            </w:r>
          </w:p>
        </w:tc>
        <w:tc>
          <w:tcPr>
            <w:tcW w:w="9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201,758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82"/>
        </w:trPr>
        <w:tc>
          <w:tcPr>
            <w:tcW w:w="59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7"/>
                <w:szCs w:val="17"/>
                <w:color w:val="auto"/>
              </w:rPr>
              <w:t>Proceeds from issuance pre-funded warrants as a part of the</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September 2024 Offering, net of offering costs</w:t>
            </w:r>
          </w:p>
        </w:tc>
        <w:tc>
          <w:tcPr>
            <w:tcW w:w="9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14,076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81"/>
        </w:trPr>
        <w:tc>
          <w:tcPr>
            <w:tcW w:w="59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Proceeds from the issuance of ordinary shares as a part of the</w:t>
            </w: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December 2025 Offering, net of offering costs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330,912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82"/>
        </w:trPr>
        <w:tc>
          <w:tcPr>
            <w:tcW w:w="59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7"/>
                <w:szCs w:val="17"/>
                <w:color w:val="auto"/>
              </w:rPr>
              <w:t>Proceeds from issuance pre-funded warrants as a part of the</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December 2025 Offering, net of offering costs</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46,938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81"/>
        </w:trPr>
        <w:tc>
          <w:tcPr>
            <w:tcW w:w="59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Proceeds from issuance of ordinary shares pursuant to the</w:t>
            </w: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GSK Collaboration Agreement</w:t>
            </w:r>
          </w:p>
        </w:tc>
        <w:tc>
          <w:tcPr>
            <w:tcW w:w="9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34,623</w:t>
            </w:r>
          </w:p>
        </w:tc>
        <w:tc>
          <w:tcPr>
            <w:tcW w:w="100" w:type="dxa"/>
            <w:vAlign w:val="bottom"/>
          </w:tcPr>
          <w:p>
            <w:pPr>
              <w:spacing w:after="0"/>
              <w:rPr>
                <w:sz w:val="19"/>
                <w:szCs w:val="19"/>
                <w:color w:val="auto"/>
              </w:rPr>
            </w:pPr>
          </w:p>
        </w:tc>
      </w:tr>
      <w:tr>
        <w:trPr>
          <w:trHeight w:val="182"/>
        </w:trPr>
        <w:tc>
          <w:tcPr>
            <w:tcW w:w="59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7"/>
                <w:szCs w:val="17"/>
                <w:color w:val="auto"/>
              </w:rPr>
              <w:t>Proceeds from issuance of ordinary shares pursuant to the</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at-the-market equity program, net</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94,636</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20,380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100" w:type="dxa"/>
            <w:vAlign w:val="bottom"/>
            <w:shd w:val="clear" w:color="auto" w:fill="CFF0FC"/>
          </w:tcPr>
          <w:p>
            <w:pPr>
              <w:spacing w:after="0"/>
              <w:rPr>
                <w:sz w:val="19"/>
                <w:szCs w:val="19"/>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the exercise of share options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14,868</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2,979</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Pr>
          <w:p>
            <w:pPr>
              <w:spacing w:after="0"/>
              <w:rPr>
                <w:sz w:val="17"/>
                <w:szCs w:val="17"/>
                <w:color w:val="auto"/>
              </w:rPr>
            </w:pPr>
          </w:p>
        </w:tc>
      </w:tr>
      <w:tr>
        <w:trPr>
          <w:trHeight w:val="20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the ESPP</w:t>
            </w:r>
          </w:p>
        </w:tc>
        <w:tc>
          <w:tcPr>
            <w:tcW w:w="9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3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488,235</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253,890</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132,534</w:t>
            </w:r>
          </w:p>
        </w:tc>
        <w:tc>
          <w:tcPr>
            <w:tcW w:w="100" w:type="dxa"/>
            <w:vAlign w:val="bottom"/>
          </w:tcPr>
          <w:p>
            <w:pPr>
              <w:spacing w:after="0"/>
              <w:rPr>
                <w:sz w:val="17"/>
                <w:szCs w:val="17"/>
                <w:color w:val="auto"/>
              </w:rPr>
            </w:pPr>
          </w:p>
        </w:tc>
      </w:tr>
      <w:tr>
        <w:trPr>
          <w:trHeight w:val="19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Effect of foreign exchange rates on cash</w:t>
            </w: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(138)</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(95)</w:t>
            </w:r>
          </w:p>
        </w:tc>
      </w:tr>
      <w:tr>
        <w:trPr>
          <w:trHeight w:val="196"/>
        </w:trPr>
        <w:tc>
          <w:tcPr>
            <w:tcW w:w="5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300,036</w:t>
            </w:r>
          </w:p>
        </w:tc>
        <w:tc>
          <w:tcPr>
            <w:tcW w:w="3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101,788</w:t>
            </w: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111,893</w:t>
            </w:r>
          </w:p>
        </w:tc>
        <w:tc>
          <w:tcPr>
            <w:tcW w:w="100" w:type="dxa"/>
            <w:vAlign w:val="bottom"/>
            <w:tcBorders>
              <w:top w:val="single" w:sz="8" w:color="CFF0FC"/>
            </w:tcBorders>
          </w:tcPr>
          <w:p>
            <w:pPr>
              <w:spacing w:after="0"/>
              <w:rPr>
                <w:sz w:val="17"/>
                <w:szCs w:val="17"/>
                <w:color w:val="auto"/>
              </w:rPr>
            </w:pPr>
          </w:p>
        </w:tc>
      </w:tr>
      <w:tr>
        <w:trPr>
          <w:trHeight w:val="20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9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305,838</w:t>
            </w:r>
          </w:p>
        </w:tc>
        <w:tc>
          <w:tcPr>
            <w:tcW w:w="3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204,050</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92,157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92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605,874</w:t>
            </w:r>
          </w:p>
        </w:tc>
        <w:tc>
          <w:tcPr>
            <w:tcW w:w="300" w:type="dxa"/>
            <w:vAlign w:val="bottom"/>
          </w:tcPr>
          <w:p>
            <w:pPr>
              <w:spacing w:after="0"/>
              <w:rPr>
                <w:sz w:val="17"/>
                <w:szCs w:val="17"/>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305,838</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204,050</w:t>
            </w:r>
          </w:p>
        </w:tc>
        <w:tc>
          <w:tcPr>
            <w:tcW w:w="10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96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2"/>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Offering costs in accounts payable at period end</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-3706495</wp:posOffset>
            </wp:positionV>
            <wp:extent cx="774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-3706495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-3706495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-3166745</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-3166745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-3166745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-972185</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-972185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-972185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-697865</wp:posOffset>
            </wp:positionV>
            <wp:extent cx="774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-697865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-697865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-431800</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-431800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-431800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Wave Life Sciences Ltd. (together with its subsidiaries, “Wave” or the “Company”) is a clinical-stage biotechnology company focused on unlocking the broad potential of ribonucleic acid (“RNA”) medicines (also known as oligonucleotides), or those targeting RNA, to transform human health. Our RNA medicines platform, PRISM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combines multiple modalities, chemistry innovation and deep insights into human genetics to deliver scientific breakthroughs that treat both rare and common disorders. Our toolkit of RNA-targeting modalities, including RNAi silencing (SpiNA) and RNA editing (AIMers), provides us with unmatched capabilities for designing and sustainably delivering candidates that optimally address disease biology. Our pipeline is focused on our obesity (WVE-007), alpha-1 antitrypsin deficiency (“AATD”) (WVE-006) and PNPLA3 I148M liver disease (WVE-008) programs, and also includes clinical programs for Duchenne muscular dystrophy (“DMD”) and Huntington’s disease (“HD”), as well as several preclinical programs utilizing our versatile RNA medicines platform.</w:t>
      </w:r>
    </w:p>
    <w:p>
      <w:pPr>
        <w:spacing w:after="0" w:line="8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Company was incorporated in Singapore on July 23, 2012 and has its principal U.S. office in Cambridge, Massachusetts. The Company was incorporated with the purpose of combining two commonly held companies, Wave Life Sciences USA, Inc. (“Wave USA”), a Delaware corporation (formerly Ontorii, Inc.), and Wave Life Sciences Japan, Inc. (“Wave Japan”), a company organized under the laws of Japan (formerly Chiralgen., Ltd.), which occurred on September 13, 2012. On May 31, 2016, Wave Life Sciences Ireland Limited (“Wave Ireland”) was formed as a wholly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owned subsidiary of Wave Life Sciences Ltd. On April 3, 2017, Wave Life Sciences UK Limited (“Wave UK”) was formed as a wholly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owned subsidiary of Wave Life Sciences Ltd.</w:t>
      </w:r>
    </w:p>
    <w:p>
      <w:pPr>
        <w:spacing w:after="0" w:line="7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Company’s primary activities have been developing and evolving PRISM to design, develop and commercialize RNA medicines, advancing the Company’s differentiated portfolio, building the Company’s research, development and manufacturing capabilities, advancing programs into the clinic, furthering clinical development of such clinical-stage programs, building the Company’s intellectual property, and assuring adequate capital to support these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Since its inception, the Company has not generated any product revenue and has incurred recurring operating losses. To date, the Company has primarily funded its operations through private placements of debt and equity securities, public and other registered offerings of its equity securities and collaborations with third parties. Until the Company can generate significant revenue from product sales, if ever, the Company expects to continue to finance operations through a combination of public or private equity or debt financings or other sources, which may include upfront and milestone payments from collaborations with third parties. Adequate additional financing may not be available to the Company on acceptable terms, or at all. The inability to raise capital as and when needed would have a negative impact on the Company’s financial condition and ability to pursue its business strategy.</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of $602.1 million. The Company expects that its existing cash and cash equivalents will be sufficient to fund its operations for at least the next twelve months from the issuance date of these financial statements. The Company has based this expectation on the best information available, however the Company may use its available capital resources sooner than it currently expects. If the Company’s anticipated operating results are not achieved in future periods, planned expenditures may need to be further reduced in order to extend the time period over which the then-available resources would be able to fund the Company’s operations. In addition, the Company may elect to raise additional funds before it needs them if the conditions for raising capital are favorable due to market conditions or strategic considerations, even if the Company expects it has sufficient funds for its current or future operating plans.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maintaining internal manufacturing capabilities, dependence on key personnel, compliance with government regulations and the need to obtain additional financing. The Company’s therapeutic programs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efforts will be successful,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prepared the accompanying consolidated financial statements in conformity with generally accepted accounting principles in the United States (“U.S. GAAP”) and in U.S.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securities with maturities of three months or less from the date of purchase to be cash equivalents. The Company's cash and cash equivalents are comprised of funds held in checking and money market accounts.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the Company and its wholly-owned subsidiaries. All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U.S. GAAP. The preparation of the Company’s financial statements and related disclosures requires the Company to make estimates and assumptions that affect the reported amount of assets, liabilities, revenue, costs and expenses and related disclosures. Management considers many factors in selecting appropriate financial accounting policies and in developing the estimates and assumptions that are used in the preparation of the financial statements. Management must apply significant judgment in this process. The Company believes that its revenue recognition policy, particularly (a) assessing the number of performance obligations; (b) determining the transaction price; (c) allocating the transaction price to the performance obligations in the contract; and (d) determining the pattern over which performance obligations are satisfied, including estimates to complete performance obligations, and the assumptions and estimates used in the Company’s analysis of contracts with contract research organizations (“CROs”) and contract manufacturing organizations (“CMOs”) to estimate the contract expense, involve a greater degree of judgment, and therefore the Company considers them to be its critical accounting policies. The Company evaluates its estimates and assumptions on an ongoing basis. The Company’s actual results may differ from these estimates under different assumptions and conditions.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manages its operations as a single reportable and operating segment for the purposes of assessing performance and making operating decisions. The Company’s focus is on developing its proprietary RNA medicines platform, PRISM, to develop and commercialize a broad pipeline of RNA medicines in a variety of therapeutic areas. This operating structure enables the Chief Executive Officer ("CEO") as chief operating decision maker ("CODM"), to allocate resources and assess business performance in order to achieve established long-term strategic goals. The determination of a single segment is consistent with the consolidated financial information regularly reviewed by the CODM for purposes of assessing performance, allocating resources and planning, monitoring budget versus actual results, and forecasting future periods. Within the single segment, there are significant expenses that are regularly considered by the CODM which are used in the review for performance and resource allocation. See Note 14 for additional disclosure of our segment information.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each reporting period, the Company evaluates whether there are conditions or events that raise substantial doubt about the Company’s ability to continue as a going concern within one year after the date that the financial statements are issued. The Company is required to make certain additional disclosures if the Company concludes substantial doubt exists and it is not alleviated by the Company’s plans or when the Company’s plans alleviate substantial doubt about the Company’s ability to continue as a going concern. The Company’s evaluation entails analyzing prospective operating budgets and forecasts for expectations of the Company’s cash needs and comparing those needs to the current cash and cash equivalent balance.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functional currency is the U.S. dollar for all of the Company’s entities aside from Wave Japan, which has the Japanese Yen as its functional currency. Assets and liabilities of Wave Japan are translated at period end exchange rates while revenues and expenses of Wave Japan are translated at average exchange rates for the period. Net unrealized gains and losses from foreign currency translation are reflected as other comprehensive income (loss) within the consolidated statements of Series A preferred shares and shareholders’ equity (deficit) and the consolidated statements of operations and comprehensive loss. Gains and losses on foreign currency transactions are included in the consolidated statements of operations and comprehensive loss within other income, net.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is required to disclose information on all assets and liabilities reported at fair value that enables an assessment of the inputs used in determining the reported fair values. The fair value hierarchy is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information available in the circumstances. The fair value hierarchy applies only to the valuation inputs used in determining the reported fair value of the investments and is not a measure of the investment credit quality. The hierarchy defines three levels of valuation inputs: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1—Unadjusted quoted prices in active markets that are accessible at the measurement date of identical, unrestricted assets.</w:t>
      </w:r>
    </w:p>
    <w:p>
      <w:pPr>
        <w:spacing w:after="0" w:line="117" w:lineRule="exact"/>
        <w:rPr>
          <w:sz w:val="20"/>
          <w:szCs w:val="20"/>
          <w:color w:val="auto"/>
        </w:rPr>
      </w:pPr>
    </w:p>
    <w:p>
      <w:pPr>
        <w:ind w:left="520" w:right="600"/>
        <w:spacing w:after="0" w:line="266" w:lineRule="auto"/>
        <w:rPr>
          <w:sz w:val="20"/>
          <w:szCs w:val="20"/>
          <w:color w:val="auto"/>
        </w:rPr>
      </w:pPr>
      <w:r>
        <w:rPr>
          <w:rFonts w:ascii="Times New Roman" w:cs="Times New Roman" w:eastAsia="Times New Roman" w:hAnsi="Times New Roman"/>
          <w:sz w:val="18"/>
          <w:szCs w:val="18"/>
          <w:color w:val="auto"/>
        </w:rPr>
        <w:t>Level 2—Quoted prices for similar assets, or inputs that are observable, either directly or indirectly, for substantially the full term through corroboration with observable market data. Level 2 includes investments valued at quoted prices adjusted for legal or contractual restrictions specific to the security.</w:t>
      </w:r>
    </w:p>
    <w:p>
      <w:pPr>
        <w:spacing w:after="0" w:line="68" w:lineRule="exact"/>
        <w:rPr>
          <w:sz w:val="20"/>
          <w:szCs w:val="20"/>
          <w:color w:val="auto"/>
        </w:rPr>
      </w:pPr>
    </w:p>
    <w:p>
      <w:pPr>
        <w:ind w:left="520" w:right="440"/>
        <w:spacing w:after="0" w:line="282" w:lineRule="auto"/>
        <w:rPr>
          <w:sz w:val="20"/>
          <w:szCs w:val="20"/>
          <w:color w:val="auto"/>
        </w:rPr>
      </w:pPr>
      <w:r>
        <w:rPr>
          <w:rFonts w:ascii="Times New Roman" w:cs="Times New Roman" w:eastAsia="Times New Roman" w:hAnsi="Times New Roman"/>
          <w:sz w:val="18"/>
          <w:szCs w:val="18"/>
          <w:color w:val="auto"/>
        </w:rPr>
        <w:t>Level 3—Pricing inputs are unobservable for the asset, that is, inputs that reflect the reporting entity’s own assumptions about the assumptions market participants would use in pricing the asset. Level 3 includes private investments that are supported by little or no market activity.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Cash, cash equivalents and restricted cash are Level 1 assets which are comprised of funds held in checking and money market accounts. Cash, cash equivalents and restricted cash were recorded at fair value as of December 31, 2025 and 2024, totaling $605.9 million and $305.8 million, respectively. The carrying amounts of accounts payable and accrued expenses approximate their fair values due to their short-term maturities.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Cash, cash equivalents, restricted cash and short-term investments are financial instruments that potentially subject the Company to concentration of credit risk. The Company uses several financial institutions to maintain its cash, cash equivalents, restricted cash and short-term investments, all of which are high quality, accredited financial institutions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Restricted cash consists primarily of cash placed in separate restricted bank accounts as required under the terms of the Company’s lease agreements for its Cambridge, Massachusetts and Lexington, Massachusetts facilities (refer to Note 8). As of December 31, 2025 and 2024, the Company had $3.8 million of restricted cash, of which $2.8 million related to the Lexington facility, and $1.0 million related to the Cambridge facility.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Property and equipment, which consists primarily of equipment, furniture, software and leasehold improvements, are stated at cost less accumulated depreciation. Depreciation is calculated on a straight-line basis over the following estimated useful lives of the assets:</w:t>
      </w:r>
    </w:p>
    <w:p>
      <w:pPr>
        <w:sectPr>
          <w:pgSz w:w="11900" w:h="16838" w:orient="portrait"/>
          <w:cols w:equalWidth="0" w:num="1">
            <w:col w:w="11220"/>
          </w:cols>
          <w:pgMar w:left="320" w:top="1305" w:right="35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Furniture and Software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Shorter of asset life or lease term</w:t>
      </w:r>
    </w:p>
    <w:p>
      <w:pPr>
        <w:spacing w:after="0" w:line="99" w:lineRule="exact"/>
        <w:rPr>
          <w:sz w:val="20"/>
          <w:szCs w:val="20"/>
          <w:color w:val="auto"/>
        </w:rPr>
      </w:pPr>
    </w:p>
    <w:p>
      <w:pPr>
        <w:sectPr>
          <w:pgSz w:w="11900" w:h="16838" w:orient="portrait"/>
          <w:cols w:equalWidth="0" w:num="2">
            <w:col w:w="5040" w:space="720"/>
            <w:col w:w="5460"/>
          </w:cols>
          <w:pgMar w:left="320" w:top="1305" w:right="359" w:bottom="1440" w:gutter="0" w:footer="0" w:header="0"/>
          <w:type w:val="continuous"/>
        </w:sect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Depreciation begins at the time the asset is placed in service. Maintenance and repairs are charged to operations as incurred. Upon retirement or sale, the cost of the disposed asset and the related accumulated depreciation are removed from the accounts and any resulting gain or loss is reflected in the consolidated statements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Long-lived assets consist of property and equipment. Long-lived assets are reviewed for impairment whenever events or other changes in circumstances indicate that the carrying amount may not be recoverable. Certain factors may exist or events may occur that indicate that impairment exists including, but not limited to, the following: significant underperformance relative to historical or projected future operating results; significant changes in the manner of use of the underlying assets; and significant adverse industry or market economic trends.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 performing the impairment assessment for long-lived assets, the Company compares the carrying value of such assets to the estimated undiscounted future net cash flows expected from the use of the assets and their eventual disposition. In the event that the carrying value of the assets is determined to be unrecoverable, the Company would estimate the fair value of the assets and record an impairment charge for the excess of the carrying value over the fair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recognizes revenue in accordance with Accounting Standards Codification (“ASC”) Topic 606, Revenue from Contracts with Customers (“ASC 606”). This standard applies to all contracts with customers, except for contracts that are within the scope of other standards, such as leases, insurance, and financial instruments.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to which it is entitled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entered into collaboration agreements for research, development, and commercial services, under which the Company licenses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Any variable consideration is allocated to a performance obligation, and the cumulative revenue associated with this consideration is not recognized until it is deemed not to be at significant risk of reversal.</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the Company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w:t>
      </w:r>
    </w:p>
    <w:p>
      <w:pPr>
        <w:spacing w:after="0" w:line="5" w:lineRule="exact"/>
        <w:rPr>
          <w:sz w:val="20"/>
          <w:szCs w:val="20"/>
          <w:color w:val="auto"/>
        </w:rPr>
      </w:pPr>
    </w:p>
    <w:p>
      <w:pPr>
        <w:ind w:right="40" w:firstLine="8"/>
        <w:spacing w:after="0" w:line="253" w:lineRule="auto"/>
        <w:tabs>
          <w:tab w:leader="none" w:pos="2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 the transaction price under step (iii) above; and (c) the timing of satisfaction of performance obligations as a measure of progress in step (v) above. The Company uses significant judgment to determine whether milestones or other variable consideration, except for royalties, should be included in the transaction price as described further below. The transaction price is allocated to the optional goods and services the Company expects to provide. The Company uses estimates to determine the timing of satisfaction of performance obligations.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type w:val="continuous"/>
        </w:sectPr>
      </w:pPr>
    </w:p>
    <w:bookmarkStart w:id="109" w:name="page110"/>
    <w:bookmarkEnd w:id="109"/>
    <w:p>
      <w:pPr>
        <w:ind w:right="220"/>
        <w:spacing w:after="0" w:line="289" w:lineRule="auto"/>
        <w:rPr>
          <w:sz w:val="20"/>
          <w:szCs w:val="20"/>
          <w:color w:val="auto"/>
        </w:rPr>
      </w:pPr>
      <w:r>
        <w:rPr>
          <w:rFonts w:ascii="Times New Roman" w:cs="Times New Roman" w:eastAsia="Times New Roman" w:hAnsi="Times New Roman"/>
          <w:sz w:val="17"/>
          <w:szCs w:val="17"/>
          <w:color w:val="auto"/>
        </w:rPr>
        <w:t>Amounts received prior to being recognized as revenue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In assessing whether a promise or performance obligation is distinct from the other promises, the Company considers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such as the research, development, manufacturing and commercialization capabilities of the customer and the availability of the associated expertise in the general marketplace.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8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Research and development services</w:t>
      </w:r>
      <w:r>
        <w:rPr>
          <w:rFonts w:ascii="Times New Roman" w:cs="Times New Roman" w:eastAsia="Times New Roman" w:hAnsi="Times New Roman"/>
          <w:sz w:val="18"/>
          <w:szCs w:val="18"/>
          <w:color w:val="auto"/>
        </w:rPr>
        <w:t>: If an arrangement is determined to contain a promise or obligation for the Company to perform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services, the Company must determine whether these services are distinct from other promises in the arrangement. In assessing whether the services are distinct from the other promises, the Company considers the capabilities of the customer to perform these same services.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8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If an arrangement is determined to contain customer options that allow the customer to acquire additional goods or services, the goods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standalone selling price. Amounts allocated to any material right are not recognized as revenue until the option is exercised and the performance obligation is satisfied.</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milestone payments, the Company evaluates whether a significant reversal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 be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Contract costs</w:t>
      </w:r>
      <w:r>
        <w:rPr>
          <w:rFonts w:ascii="Times New Roman" w:cs="Times New Roman" w:eastAsia="Times New Roman" w:hAnsi="Times New Roman"/>
          <w:sz w:val="18"/>
          <w:szCs w:val="18"/>
          <w:color w:val="auto"/>
        </w:rPr>
        <w:t>: The Company recognizes as an asset the incremental costs of obtaining a contract with a customer if the costs are expected to be recovered.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practical expedient, the Company recognizes the incremental costs of obtaining a contract as an expense when incurred if the amortization period of the asset that it otherwise would have recognized is one year or less. To date, the Company has not incurred any incremental costs of obtaining a contract with a customer.</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External development costs are recognized based on an evaluation of the progress to completion of specific tasks. Payments for these activities are based on the terms of the individual agreements, which may differ from the pattern of costs incurred, and are reflected in the accompanying consolidated balance sheets as prepaid or accrued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 and Patent Costs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Costs associated with licenses of technology and patent costs are expensed as incurred and are generally included in research and development expense in the consolidated statements of operations and comprehensive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Refundable Tax Credits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is eligible for refundable tax credits with tax authorities for certain qualified operating expenses. The Company recognizes refundable tax credits when there is reasonable assurance that the Company will comply with the requirements of the refundable tax credit and that the refundable tax credit will be received. Refundable tax credits are recorded as income and classified in other income, net in the consolidated statements of operations and comprehensive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Basic net loss per share is computed using the weighted-average number of ordinary shares outstanding during the period. The outstanding Pre-Funded Warrants (as defined in Note 6) are included in the weighted-average number of ordinary shares outstanding used in the calculation of basic net loss per share as the exercise price is negligible and the warrants are fully vested and exercisable. Diluted net loss per share is computed using the sum of the weighted-average number of ordinary shares outstanding during the period and, if dilutive, the weighted-average number of potential ordinary shares, including the assumed exercise of share options and the assumed vesting of RSUs (as defined in Note 7). The Company’s Series A preferred shares do not entitle the holders of such shares to participate in dividends and do not contractually require the holders of such shares to participate in losses of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measures and recognizes share-based compensation expense, for employees, consultants, and non-employee directors awards, based on the grant date fair value of the awards. The Company calculates the fair value of awards based on the grant date fair value of the underlying ordinary shares. The Company determines the fair value of share-based awards granted to non-employees as either the fair value of the consideration received or the fair value of the equity instruments issued, whichever is more reliably measurable. Equity instruments issued to consultants and non-employee directors as consideration for goods or services received by the Company have been accounted for based on the fair value of the equity instruments issued. The Company recognizes share-based compensation expense on a straight-line basis over the requisite service period of the awards, which is generally the vesting period. The Company accounts for forfeitures as they occur.</w:t>
      </w:r>
    </w:p>
    <w:p>
      <w:pPr>
        <w:spacing w:after="0" w:line="8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classifies share-based compensation expense in its consolidated statements of operations and comprehensive loss in the same manner in which the award recipient’s compensation costs are classified or in which the award recipient’s service payments are classified.</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fair value of each share option grant was determined using the methods and assumptions discussed below. These inputs are generally subjective and require significant judgment and estimation by management.</w:t>
      </w:r>
    </w:p>
    <w:p>
      <w:pPr>
        <w:spacing w:after="0" w:line="52" w:lineRule="exact"/>
        <w:rPr>
          <w:sz w:val="20"/>
          <w:szCs w:val="20"/>
          <w:color w:val="auto"/>
        </w:rPr>
      </w:pPr>
    </w:p>
    <w:p>
      <w:pPr>
        <w:ind w:left="1020" w:right="160" w:hanging="503"/>
        <w:spacing w:after="0" w:line="284"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Ordinary Shares </w:t>
      </w:r>
      <w:r>
        <w:rPr>
          <w:rFonts w:ascii="Times New Roman" w:cs="Times New Roman" w:eastAsia="Times New Roman" w:hAnsi="Times New Roman"/>
          <w:sz w:val="18"/>
          <w:szCs w:val="18"/>
          <w:color w:val="auto"/>
        </w:rPr>
        <w:t>The fair value of the ordinary shares underlying the Company’s share-based awards is based on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the Company’s ordinary shares as reported by the Nasdaq Global Market on the date of grant.</w:t>
      </w:r>
    </w:p>
    <w:p>
      <w:pPr>
        <w:spacing w:after="0" w:line="50" w:lineRule="exact"/>
        <w:rPr>
          <w:rFonts w:ascii="Times New Roman" w:cs="Times New Roman" w:eastAsia="Times New Roman" w:hAnsi="Times New Roman"/>
          <w:sz w:val="18"/>
          <w:szCs w:val="18"/>
          <w:color w:val="auto"/>
        </w:rPr>
      </w:pPr>
    </w:p>
    <w:p>
      <w:pPr>
        <w:ind w:left="1020" w:right="340" w:hanging="503"/>
        <w:spacing w:after="0" w:line="267"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share options represents the weighted-average period that the share options are expected to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The Company estimated the expected term using the simplified method, which is an average of the contractual term of the option and the vesting period.</w:t>
      </w:r>
    </w:p>
    <w:p>
      <w:pPr>
        <w:spacing w:after="0" w:line="65"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Since there was limited historical data for the Company’s ordinary shares and limited company-specific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through the third quarter of 2021, the Company determined the share price volatility for options granted based on an analysis of the volatility used by a peer group of publicly traded companies. In evaluating similarity, the Company considers factors such as industry, stage of life cycle and size. Beginning in the fourth quarter of 2021, the Company had sufficient historical volatility data for its ordinary shares and as such no longer relies on an analysis of the volatility from a peer group to calculate expected volatility.</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11" w:name="page112"/>
    <w:bookmarkEnd w:id="111"/>
    <w:p>
      <w:pPr>
        <w:ind w:left="1020" w:right="240" w:hanging="503"/>
        <w:spacing w:after="0" w:line="284"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in effect at the time of the grant for zero-coupon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notes with remaining terms similar to the expected term of the options.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expected dividend was assumed to be zero as the Company has never paid dividends and has no current plans to do so.</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 Therefore, the Company provides a valuation allowance to the extent that it is more likely than not that all or a portion of the deferred tax assets will not be realized in the future.</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recognizes interest and penalties related to uncertain tax positions in the income tax provision on the consolidated statements of operations and comprehensive loss.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certain service arrangements in place between its U.S., Japan, U.K. and Singapore entities, which include transfer pricing assumptions. The determination of the appropriate level of transfer pricing requires judgment based on transfer pricing analyses of comparable companies. The Company monitors the nature of its service arrangements for changes in its operations as well as economic conditions. The Company also periodically reviews the transfer pricing analyses for changes in the composition in the pool of comparable companies as well as the related ongoing results of the comparable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typically only includes an initial lease term in its assessment of a lease arrangement. Options to renew a lease are not included in the Company’s assessment unless there is reasonable certainty that the Company will renew the lease. The Company monitors its plans to renew its leases on a quarterly basis.</w:t>
      </w:r>
    </w:p>
    <w:p>
      <w:pPr>
        <w:spacing w:after="0" w:line="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Certain lease agreements include rental payments that are adjusted periodically for inflation or other variables. In addition to rent, the leases may require the Company to pay additional amounts for taxes, insurance, maintenance, or other expenses, which are generally referred to as non-lease components. Such adjustments to rental payments and variable non-lease components are treated as variable lease payments and recognized in the period in which the obligation for these payments are incurred. Variable lease components and variable non-lease components are not measured as part of the right-of-use asset and lease liability. Only when lease components and their associated non-lease components are fixed are they accounted for as a single lease component and are recognized as part of a right-of-use asset and lease liability. Total contract consideration is allocated to the combined fixed lease and non-lease component. This policy election applies consistently to all asset classes under lease agreements.</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which reflects the fixed rate at which the Company could borrow on a collateralized basis the amount of the lease payments in the same currency, for a similar term, in a similar economic environment.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finalized Accounting Standards Update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a company's annual financial statements to include consistent categories and greater disaggregation of information in the rate reconciliation, and income taxes paid disaggregated by jurisdiction. The Company adopted ASU 2023-09 for the Company's fiscal year 2025 annual reporting period and applied it prospectively. The adoption did not have a material impact on the Company's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12" w:name="page113"/>
    <w:bookmarkEnd w:id="112"/>
    <w:p>
      <w:pPr>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ASU 2024-03 modifies the rules on income statement disclosures to enhance the transparency of and include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information about the types of expenses, including purchases of inventory, employee compensation, depreciation, amortization, and depletion, in commonly presented expense captions such as cost of sales, research and development, and selling, general and administrative expenses. The amendments are intended to address investors’ requests for income statement expense disclosures that provide more information to help them better understand the components of an entity’s expenses, make their own judgments about the entity’s performance, and more accurately forecast expenses, and enable investors to better assess an entity’s prospects for future cash flows. It will also provide contextual information for an entity’s presentation and consideration of management’s discussion and analysis of financial position and results of operations. The guidance is effective for all entities for annual periods beginning after December 15, 2026. All entities should apply the guidance prospectively but have the option to apply it retrospectively. Early adoption is permitted. The Company is continuing to assess the timing of adoption and the potential impacts of ASU 2024-03 on the consolidated financial statements and related disclosures.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72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color w:val="auto"/>
                <w:w w:val="82"/>
              </w:rPr>
              <w:t>thousands)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96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26,374</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26,194</w:t>
            </w:r>
          </w:p>
        </w:tc>
        <w:tc>
          <w:tcPr>
            <w:tcW w:w="8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28,936</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8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in progress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8"/>
                <w:szCs w:val="18"/>
                <w:color w:val="auto"/>
              </w:rPr>
            </w:pPr>
          </w:p>
        </w:tc>
      </w:tr>
      <w:tr>
        <w:trPr>
          <w:trHeight w:val="210"/>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56,927</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56,457</w:t>
            </w:r>
          </w:p>
        </w:tc>
        <w:tc>
          <w:tcPr>
            <w:tcW w:w="8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60" w:type="dxa"/>
            <w:vAlign w:val="bottom"/>
          </w:tcPr>
          <w:p>
            <w:pPr>
              <w:spacing w:after="0"/>
              <w:rPr>
                <w:sz w:val="18"/>
                <w:szCs w:val="18"/>
                <w:color w:val="auto"/>
              </w:rPr>
            </w:pP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(49,522)</w:t>
            </w:r>
          </w:p>
        </w:tc>
        <w:tc>
          <w:tcPr>
            <w:tcW w:w="4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(46,329)</w:t>
            </w:r>
          </w:p>
        </w:tc>
      </w:tr>
      <w:tr>
        <w:trPr>
          <w:trHeight w:val="249"/>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tcBorders>
              <w:top w:val="single" w:sz="8" w:color="auto"/>
              <w:bottom w:val="single" w:sz="8" w:color="auto"/>
            </w:tcBorders>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-25400</wp:posOffset>
            </wp:positionV>
            <wp:extent cx="514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long-lived assets were located in the United States as of December 31, 2025 and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$3.4 million, $3.9 million, and $5.0 million for the years ended December 31, 2025, 2024, and 2023,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7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w w:val="82"/>
              </w:rPr>
              <w:t>thousands)</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7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15,358</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related to CROs and CMOs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26,564</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-170815</wp:posOffset>
            </wp:positionV>
            <wp:extent cx="431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COLLABORATION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GSK Collaboration and Equity Agreements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December 13, 2022, Wave USA and Wave UK entered into a Collaboration and License Agreement (the “GSK Collaboration Agreement”) with GlaxoSmithKline Intellectual Property (No. 3) (“GSK”). Pursuant to the GSK Collaboration Agreement, Wave and GSK have agreed to collaborate on the research, development, and commercialization of oligonucleotide therapeutics, including an exclusive global license to WVE-006. The discovery collaboration component has an initial four-year research term and combines Wave’s proprietary discovery and drug development platform, PRISM, with GSK’s unique genetic insights and its global development and commercial capabilities. On January 27, 2023, the GSK Collaboration Agreement became effective, and GSK paid Wave an upfront payment of $120.0 million.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13" w:name="page114"/>
    <w:bookmarkEnd w:id="113"/>
    <w:p>
      <w:pPr>
        <w:ind w:right="260"/>
        <w:spacing w:after="0" w:line="258" w:lineRule="auto"/>
        <w:rPr>
          <w:sz w:val="20"/>
          <w:szCs w:val="20"/>
          <w:color w:val="auto"/>
        </w:rPr>
      </w:pPr>
      <w:r>
        <w:rPr>
          <w:rFonts w:ascii="Times New Roman" w:cs="Times New Roman" w:eastAsia="Times New Roman" w:hAnsi="Times New Roman"/>
          <w:sz w:val="18"/>
          <w:szCs w:val="18"/>
          <w:color w:val="auto"/>
        </w:rPr>
        <w:t>Simultaneously with the execution of the GSK Collaboration Agreement, Wave entered into a Share Purchase Agreement (the “SPA”) on December 13, 2022, with Glaxo Group Limited (“GGL”), an affiliate of GSK, pursuant to which Wave agreed to sell 10,683,761 of its ordinary shares to GGL at a purchase price of $4.68 per share (the “GSK Equity Investment”). The GSK Equity Investment closed on January 26, 2023, following the completion of customary closing conditions. The ordinary shares purchased by GGL in the GSK Equity Investment carry certain registration rights, customary for transactions of this kind. The Company did not incur any material costs in connection with the issuance of the ordinary shares under the SPA.</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GSK Collaboration Agreement has three components: (1) a discovery collaboration which enables the Company to advance up to three programs leveraging targets informed by GSK’s novel genetic insights (“Wave’s Collaboration Programs”); (2) a discovery collaboration which enables GSK to advance up to eight programs leveraging PRISM and the Company’s oligonucleotide expertise and discovery capabilities (the “Discovery Research Collaboration”); and (3) an exclusive global license for GSK to WVE-006, the Company’s alpha-1 antitrypsin deficiency (“AATD”) program, that uses the Company’s proprietary AIMer technology (the "AATD Collaboration"). The Company will be responsible for preclinical, regulatory, manufacturing, and clinical activities for WVE-006 through the initial Phase 1/2 study, at the Company’s sole cost. Thereafter, GSK will be responsible for advancing WVE-006 through pivotal studies, registration, and global commercialization at GSK’s sole cost. On February 2, 2026, the Company announced that it regained full rights to WVE-006, an investigational GalNAc-conjugated RNA editing oligonucleotide for alpha-1 antitrypsin deficiency, which was originally the subject of an exclusive global license to GSK under the GSK Collaboration Agreement.</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GSK Collaboration Agreement, each party grants to the other party certain licenses to the collaboration products to enable the other party to perform its obligations and exercise its rights under the GSK Collaboration Agreement, including license grants to enable each party to conduct research, development and commercialization activities pursuant to the terms of the GSK Collaboration Agreement. The parties’ exclusivity obligations to each other are limited on a target-by-target basis with regard to targets in the collaboration. GSK may terminate the GSK Collaboration Agreement for convenience, in its entirety or on a target-by-target basis. Subject to certain exceptions, each party has the right to terminate the GSK Collaboration Agreement on a target-by-target basis if the other party, or a related party, challenges the patentability, enforceability or validity of any patents within the licensed technology that cover any product that is subject to the GSK Collaboration Agreement. In the event of any material breach of the GSK Collaboration Agreement by a party, subject to cure rights, the other party may terminate the GSK Collaboration Agreement in its entirety if the breach relates to all targets or on a target-by-target basis if the breach relates to a specific target. In the event that GSK and its affiliates cease development, manufacturing and commercialization activities with respect to compounds or products subject to the GSK Collaboration Agreement and directed to a particular target, the Company may terminate the GSK Collaboration Agreement with respect to such target. Either party may terminate the GSK Collaboration Agreement for the other party’s insolvency. In certain termination circumstances, the Company would receive a license from GSK to continue researching, developing and manufacturing certain products.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GSK Collaboration Agreement, unless terminated earlier, will continue until the date on which: (i) with respect to a validation target, the date on which such validation target is not advanced into a collaboration program; or (ii) with respect to a collaboration target, the royalty term has expired for all collaboration products directed to the applicable collaboration target. The GSK Collaboration Agreement includes options to extend the research term for up to three additional years, which would increase the number of programs available to both parties. The Company will lead all preclinical research for GSK and the Company’s collaboration programs up to investigational new drug (“IND”)-enabling studies. The Company will lead IND-enabling studies, clinical development and commercialization for the Company’s collaboration programs. GSK collaboration programs will transfer to GSK for IND-enabling studies, clinical development and commercialization.</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GSK Collaboration Agreement is managed by a joint steering committee in which both parties are represented equally. In addition, the AATD Collaboration is overseen by a joint development committee, a joint patent committee advises on intellectual property activities, and the Discovery Research Collaboration is overseen by a joint research committee. Both parties are represented equally for these committees and report to the joint steering committee.</w:t>
      </w:r>
    </w:p>
    <w:p>
      <w:pPr>
        <w:spacing w:after="0" w:line="7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assessed this arrangement in accordance with ASC 606, Revenue from Contracts with Customers ("ASC 606") and concluded that the contract counterparty, GSK, is a customer for the AATD Collaboration prior to GSK exercising its option and, for the Discovery Research Collaboration programs during the target validation research term. The Company identified the following material promises under the arrangement: (1) the exclusive global license for WVE-006; (2) the research and development services for WVE-006 through the Phase 1/2 study; (3) the discovery research services under the Discovery Research Collaboration to perform target validation programs; (4) research and development license for the Discovery Research Collaboration; and (5) the research and development services for the GSK collaboration programs through completion of a candidate selection. The research and development services for WVE-006 were determined to not be distinct from the exclusive global license and should therefore be combined into a single performance obligation for the AATD Collaboration. The research and development services for the Discovery Research Collaboration were determined to not be distinct from the research and development license for the Discovery Research Collaboration and should therefore be combined into a single performance obligation. In addition, the Company determined the standalone selling price for the option to advance up to eight programs from the Discovery Research Collaboration and determined it did not provide a material right to GSK.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4" w:name="page115"/>
    <w:bookmarkEnd w:id="114"/>
    <w:p>
      <w:pPr>
        <w:ind w:right="20"/>
        <w:spacing w:after="0" w:line="261" w:lineRule="auto"/>
        <w:rPr>
          <w:sz w:val="20"/>
          <w:szCs w:val="20"/>
          <w:color w:val="auto"/>
        </w:rPr>
      </w:pPr>
      <w:r>
        <w:rPr>
          <w:rFonts w:ascii="Times New Roman" w:cs="Times New Roman" w:eastAsia="Times New Roman" w:hAnsi="Times New Roman"/>
          <w:sz w:val="18"/>
          <w:szCs w:val="18"/>
          <w:color w:val="auto"/>
        </w:rPr>
        <w:t>Based on these assessments, the Company identified two performance obligations in the GSK Collaboration Agreement: (1) AATD Collaboration consisting of the research and development services through completion of the Phase 1/2 study and research and development license for WVE-006 and (2) Discovery Research Collaboration which consists of research and development services for validating the targets and license for research and development license for targets.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outset of the arrangement, the transaction price included fixed consideration of the $120.0 million upfront, the $15.4 million in premium related to the GSK Equity Investment and the fixed consideration related to the additional target validation research funding. The Company allocated the estimated variable consideration relating to the target validation research to the Discovery Research Collaboration and the variable consideration relating to the development milestone to the AATD Collaboration and then allocated the fixed consideration to the performance obligations on a relative standalone selling price basis. The Company determined that the GSK Collaboration Agreement did not contain a significant financing component. The program initiation fees to advance up to eight programs from the Discovery Research Collaboration to preclinically develop the GSK collaboration programs and the additional potential milestone payments were excluded from the transaction price, as all milestone amounts were fully constrained at the inception of the GSK Collaboration Agreement. The Company will reevaluate the transaction price at the end of each reporting period, and as uncertain events are resolved or other changes in circumstances occur, the Company will adjust its estimate of the transaction price.</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GSK Collaboration Agreement, GSK can advance up to eight programs (GSK Collaboration Programs) leveraging the Company's PRISM platform and multiple RNA-targeting modalities (RNAi, RNA editing, splicing, and antisense) with target validation work ongoing across multiple therapy areas. The advancement to a development candidate following the achievement of target validation results in a GSK Collaboration Program performance obligation. In September 2025, GSK selected a third program to advance to a development candidate following the achievement of target validation, resulting in three programs designated as GSK Collaboration Programs as of December 31, 2025. Subsequent to December 31, 2025, GSK selected a fourth program to advance to development candidate following achievement of target validation. Under the GSK Collaboration Agreement, GSK has paid an aggregate of $32.0 million in program initiation payments related to these four programs, of which $10.0 million was received after December 31, 2025.</w:t>
      </w:r>
    </w:p>
    <w:p>
      <w:pPr>
        <w:spacing w:after="0" w:line="8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total transaction price to the identified performance obligations under the GSK Collaboration Agreement, and the amount of the transaction price unsatisfied as of December 31, 2025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Transaction Price</w:t>
            </w: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Transaction Price Unsatisfied </w:t>
            </w:r>
            <w:r>
              <w:rPr>
                <w:rFonts w:ascii="Times New Roman" w:cs="Times New Roman" w:eastAsia="Times New Roman" w:hAnsi="Times New Roman"/>
                <w:sz w:val="24"/>
                <w:szCs w:val="24"/>
                <w:color w:val="auto"/>
                <w:vertAlign w:val="superscript"/>
              </w:rPr>
              <w:t>(1)</w:t>
            </w:r>
          </w:p>
        </w:tc>
      </w:tr>
      <w:tr>
        <w:trPr>
          <w:trHeight w:val="210"/>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Obligations:</w:t>
            </w:r>
          </w:p>
        </w:tc>
        <w:tc>
          <w:tcPr>
            <w:tcW w:w="20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AATD Collaboration</w:t>
            </w:r>
          </w:p>
        </w:tc>
        <w:tc>
          <w:tcPr>
            <w:tcW w:w="2000" w:type="dxa"/>
            <w:vAlign w:val="bottom"/>
          </w:tcPr>
          <w:p>
            <w:pPr>
              <w:jc w:val="right"/>
              <w:ind w:right="18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166,778</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35,885</w:t>
            </w:r>
          </w:p>
        </w:tc>
        <w:tc>
          <w:tcPr>
            <w:tcW w:w="100" w:type="dxa"/>
            <w:vAlign w:val="bottom"/>
          </w:tcPr>
          <w:p>
            <w:pPr>
              <w:spacing w:after="0"/>
              <w:rPr>
                <w:sz w:val="18"/>
                <w:szCs w:val="18"/>
                <w:color w:val="auto"/>
              </w:rPr>
            </w:pPr>
          </w:p>
        </w:tc>
      </w:tr>
      <w:tr>
        <w:trPr>
          <w:trHeight w:val="216"/>
        </w:trPr>
        <w:tc>
          <w:tcPr>
            <w:tcW w:w="4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Discovery Research Collaboration</w:t>
            </w:r>
          </w:p>
        </w:tc>
        <w:tc>
          <w:tcPr>
            <w:tcW w:w="20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GSK Collaboration Programs</w:t>
            </w:r>
          </w:p>
        </w:tc>
        <w:tc>
          <w:tcPr>
            <w:tcW w:w="26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100" w:type="dxa"/>
            <w:vAlign w:val="bottom"/>
          </w:tcPr>
          <w:p>
            <w:pPr>
              <w:spacing w:after="0"/>
              <w:rPr>
                <w:sz w:val="18"/>
                <w:szCs w:val="18"/>
                <w:color w:val="auto"/>
              </w:rPr>
            </w:pPr>
          </w:p>
        </w:tc>
      </w:tr>
      <w:tr>
        <w:trPr>
          <w:trHeight w:val="209"/>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shd w:val="clear" w:color="auto" w:fill="CFF0FC"/>
          </w:tcPr>
          <w:p>
            <w:pPr>
              <w:jc w:val="right"/>
              <w:ind w:right="18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199,088</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53,088</w:t>
            </w:r>
          </w:p>
        </w:tc>
        <w:tc>
          <w:tcPr>
            <w:tcW w:w="100" w:type="dxa"/>
            <w:vAlign w:val="bottom"/>
            <w:shd w:val="clear" w:color="auto" w:fill="CFF0FC"/>
          </w:tcPr>
          <w:p>
            <w:pPr>
              <w:spacing w:after="0"/>
              <w:rPr>
                <w:sz w:val="18"/>
                <w:szCs w:val="18"/>
                <w:color w:val="auto"/>
              </w:rPr>
            </w:pPr>
          </w:p>
        </w:tc>
      </w:tr>
    </w:tbl>
    <w:p>
      <w:pPr>
        <w:spacing w:after="0" w:line="1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 The Unsatisfied transaction price will be recognized over the remaining applicable research or program term.</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developed the estimated standalone selling price for the global license for WVE-006, under the AATD Collaboration, using a discounted cash flow model. For the performance obligation associated with the research and development services under the Discovery Research Collaboration and the research and development services for WVE-006 under the AATD Collaboration, the Company determined the standalone selling price using estimates of the costs to perform the research and development services, including expected internal and external costs for services and supplies, adjusted to reflect a profit margin. The total estimated cost of the research and development services reflected the nature of the services to be performed and the Company’s best estimate of the length of time required to perform the services.</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Revenue associated with the AATD Collaboration performance obligation is being recognized as the research and development services are provided using an input measure, according to the costs incurred and the total costs expected to be incurred to satisfy the performance obligation. The revenue associated with the Discovery Research Collaboration performance obligation is being recognized as the research and development services are provided using an input measure, according to the costs incurred and the total costs expected to be incurred to satisfy the performance obligation. The amounts received that have not yet been recognized as revenue are recorded in deferred revenue on the Company’s consolidated balance sheet. Additional funding related to the Company’s research activities related to Discovery Research Collaboration will be recorded as accounts receivable when contractually enforceable and recorded as deferred revenue, or as revenue as the services are provided.</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achieved a developmental milestone which pertained to the initiation of dosing in healthy volunteers in the RestorAATion clinical trial program, triggering a $20.0 million milestone payment to the Company from GSK, which was collected in the first quarter of 2024. During the year ended December 31, 2025, GSK acknowledged the Company’s achievement of another development milestone for the AATD program, triggering a $10.0 million milestone payment to the Company from GSK, which was collected during the fourth quarter of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5" w:name="page116"/>
    <w:bookmarkEnd w:id="115"/>
    <w:p>
      <w:pPr>
        <w:ind w:right="60"/>
        <w:spacing w:after="0" w:line="282" w:lineRule="auto"/>
        <w:rPr>
          <w:sz w:val="20"/>
          <w:szCs w:val="20"/>
          <w:color w:val="auto"/>
        </w:rPr>
      </w:pPr>
      <w:r>
        <w:rPr>
          <w:rFonts w:ascii="Times New Roman" w:cs="Times New Roman" w:eastAsia="Times New Roman" w:hAnsi="Times New Roman"/>
          <w:sz w:val="18"/>
          <w:szCs w:val="18"/>
          <w:color w:val="auto"/>
        </w:rPr>
        <w:t>Under the GSK Collaboration Agreement, during the years ended December 31, 2025, 2024, and 2023, the Company recognized revenue of $42.7 million, $37.0 million, and $66.3 million, respectively, using the input method described above.</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aggregate amount of the transaction price allocated to the Company’s unsatisfied and partially unsatisfied performance obligations which are recorded in deferred revenue as of December 31, 2025 is approximately $52.2 million, of which approximately $44.4 million is included in current liabilities and $7.8 million is included in long-term liabilities. The aggregate amount of the transaction price allocated to the Company’s unsatisfied and partially unsatisfied performance obligations which were recorded in deferred revenue as of December 31, 2024 was approximately $72.1 million, of which approximately $66.0 million was included in current liabilities and $6.1 million was included in long-term liabilities. The Company expects to recognize the remaining deferred revenue related to the AATD performance obligation, which was fully satisfied upon the termination of the AATD license, in the first quarter of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Collaboration and Equity Agreements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February 2018, the Company entered into a global strategic collaboration with Takeda Pharmaceutical Company Limited (“Takeda”), pursuant to which the Company agreed to collaborate with Takeda on the research, development and commercialization of oligonucleotide therapeutics for disorders of the central nervous system (the “Takeda Collaboration Agreement”). On October 11, 2024, the Company was notified by Takeda that Takeda did not intend to exercise and therefore elected to terminate its option for the HD target under the collaboration. As HD was the last active collaboration target under the collaboration, the collaboration expired with immediate effect. As a result of the option termination, the Company is now free to advance WVE-003, its clinical-stage HD program, as well as any other programs targeting Huntingtin (“HTT”), independently or with other partners.</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no revenue and in the years ended December 31, 2024 and 2023, the Company recognized $71.3 million and $47.0 million in revenue, respectively, under the Takeda Collaboration Agreement in the Company’s consolidated statements of operations and comprehensive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SHARE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Company’s financing transactions during the years ended December 31, 2025, 2024, and 2023:</w:t>
      </w:r>
    </w:p>
    <w:p>
      <w:pPr>
        <w:spacing w:after="0" w:line="117" w:lineRule="exact"/>
        <w:rPr>
          <w:sz w:val="20"/>
          <w:szCs w:val="20"/>
          <w:color w:val="auto"/>
        </w:rPr>
      </w:pPr>
    </w:p>
    <w:p>
      <w:pPr>
        <w:ind w:left="760" w:right="20" w:hanging="378"/>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the Sales Agreement (as defined below) with Jefferies LLC ("Jefferies"). During the years ended December 31, 2025, 2024, and 2023, the Company sold 12,226,623, 2,952,591, and 751,688 ordinary shares, respectively, under its "at-the-market" equity program for aggregate net proceeds of $94.6 million, $20.4 million, and $3.1 million, respectively, after deducting commissions and offering expenses.</w:t>
      </w:r>
    </w:p>
    <w:p>
      <w:pPr>
        <w:spacing w:after="0" w:line="67" w:lineRule="exact"/>
        <w:rPr>
          <w:rFonts w:ascii="Times New Roman" w:cs="Times New Roman" w:eastAsia="Times New Roman" w:hAnsi="Times New Roman"/>
          <w:sz w:val="18"/>
          <w:szCs w:val="18"/>
          <w:color w:val="auto"/>
        </w:rPr>
      </w:pPr>
    </w:p>
    <w:p>
      <w:pPr>
        <w:ind w:left="760" w:hanging="378"/>
        <w:spacing w:after="0" w:line="253"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2023, the Company closed an underwritten public offering (the “December 2023 Offering”) in which the Company issued and sold 20,000,000 of the Company's ordinary shares at a price of $5.00 per share. The gross proceeds to the Company from the December 2023 Offering were $100.0 million before deducting underwriting discounts and commissions and other offering expenses. The net proceeds to the Company from the December 2023 Offering during the year ended December 31, 2023, were approximately $93.6 million, after deducting underwriting discounts and offering expenses. On January 4, 2024, the Company closed on the sale of an additional 3,000,000 ordinary shares at a price of $5.00 per share after the underwriters exercised their option to purchase the additional shares in full, which increased the aggregate number of ordinary shares sold in the December 2023 Offering to 23,000,000. The Company’s aggregate gross proceeds from the December 2023 Offering were $115.0 million, before deducting underwriting discounts and commissions and offering expenses; $15.0 million of which relates to the exercise of the underwriters’ option in January 2024. Subsequent to December 31, 2023, the Company received $14.0 million in net proceeds after deducting the underwriting discounts and commissions and offering expenses related to the December 2023 Offering.</w:t>
      </w:r>
    </w:p>
    <w:p>
      <w:pPr>
        <w:spacing w:after="0" w:line="86" w:lineRule="exact"/>
        <w:rPr>
          <w:rFonts w:ascii="Times New Roman" w:cs="Times New Roman" w:eastAsia="Times New Roman" w:hAnsi="Times New Roman"/>
          <w:sz w:val="18"/>
          <w:szCs w:val="18"/>
          <w:color w:val="auto"/>
        </w:rPr>
      </w:pPr>
    </w:p>
    <w:p>
      <w:pPr>
        <w:ind w:left="760" w:hanging="378"/>
        <w:spacing w:after="0" w:line="253"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2024, the Company closed an underwritten public offering (the "September 2024 Offering") in which the Company issued and sold 23,125,001 of the Company’s ordinary shares at a price of $8.00 per share and pre-funded warrants (the “2024 Pre-Funded Warrants”) to purchase up to 1,875,023 of the Company’s ordinary shares at an offering price of $7.9999 per 2024 Pre-Funded Warrant, which represents the per share offering price for the ordinary shares less the $0.0001 per share exercise price for each 2024 Pre-Funded Warrant. These 2024 Pre-Funded Warrants were recorded as a component of shareholders’ equity within additional paid-in capital. The gross proceeds to the Company from the September 2024 Offering were $200.0 million before deducting underwriting discounts and commissions and other offering expenses. The net proceeds to the Company from the September 2024 Offering were approximately $187.5 million, after deducting underwriting commissions and offering expenses. The 2024 Pre-Funded Warrants are exercisable at any time after their original issuance and on or prior to the five-year anniversary of the original issuance date. A holder of the 2024 Pre-Funded Warrants may not exercise the warrant if the holder, together with its affiliates, would beneficially own more than 4.99% (or at the election of such holder, 9.99% or 19.99%) of the number of the Company’s ordinary shares outstanding or more than 4.99% (or at the election of such holder, 9.99% or 19.99%) of the combined voting power of the Company’s securities outstanding immediately after giving effect to such exercise, unless and until shareholder approval is obtained.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6" w:name="page117"/>
    <w:bookmarkEnd w:id="116"/>
    <w:p>
      <w:pPr>
        <w:ind w:left="760" w:right="60" w:hanging="378"/>
        <w:spacing w:after="0" w:line="281" w:lineRule="auto"/>
        <w:tabs>
          <w:tab w:leader="none" w:pos="7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 2024, the representatives of the underwriters in connection with the September 2024 Offering exercised their option in full to purchase an additional 3,750,000 ordinary shares, which increased the aggregate number of ordinary shares sold in the September 2024 Offering to 26,875,001. The Company’s aggregate gross proceeds from the September 2024 Offering were $230.0 million, before deducting underwriting discounts and commissions and offering expenses; $30.0 million of which relates to the exercise of the underwriters’ option in October 2024.</w:t>
      </w:r>
    </w:p>
    <w:p>
      <w:pPr>
        <w:spacing w:after="0" w:line="56" w:lineRule="exact"/>
        <w:rPr>
          <w:rFonts w:ascii="Times New Roman" w:cs="Times New Roman" w:eastAsia="Times New Roman" w:hAnsi="Times New Roman"/>
          <w:sz w:val="17"/>
          <w:szCs w:val="17"/>
          <w:color w:val="auto"/>
        </w:rPr>
      </w:pPr>
    </w:p>
    <w:p>
      <w:pPr>
        <w:ind w:left="760" w:right="140" w:hanging="378"/>
        <w:spacing w:after="0" w:line="255"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12, 2024, the Company filed an automatic shelf registration statement on Form S-3ASR with the SEC for which the Company registered for sale an indeterminate amount of any combination of its ordinary shares, debt securities, warrants, rights and/or units from time to time and at prices and on terms that the Company may determine, which is referred to as the “2024 WKSI Shelf”. The 2024 WKSI Shelf includes a prospectus covering up to an aggregate of $250.0 million in ordinary shares that the Company is able to issue and sell from time to time, through Jefferies acting as its sales agent, pursuant to the Open Market Sale Agreement, dated May 10, 2019, as amended by Amendment No. 1, dated as of March 2, 2020, Amendment No. 2, dated as of March 3, 2022, and Amendment No. 3, dated as of November 12, 2024, (as amended, the “Sales Agreement”), for its “at-the-market” equity program.</w:t>
      </w:r>
    </w:p>
    <w:p>
      <w:pPr>
        <w:spacing w:after="0" w:line="80" w:lineRule="exact"/>
        <w:rPr>
          <w:rFonts w:ascii="Times New Roman" w:cs="Times New Roman" w:eastAsia="Times New Roman" w:hAnsi="Times New Roman"/>
          <w:sz w:val="18"/>
          <w:szCs w:val="18"/>
          <w:color w:val="auto"/>
        </w:rPr>
      </w:pPr>
    </w:p>
    <w:p>
      <w:pPr>
        <w:ind w:left="760" w:hanging="378"/>
        <w:spacing w:after="0" w:line="253"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the Company closed an underwritten public offering (the “December 2025 Offering”) in which the Company issued and sold 18,552,632 of the Company’s ordinary shares at a price of $19.00 per share, including 2,763,157 ordinary shares issued and sold pursuant to the underwriter's exercise in full of their option to purchase additional shares, and pre-funded warrants (the “2025 Pre-Funded Warrants”) to purchase up to 2,631,578 of the Company’s ordinary shares at an offering price of $18.9999 per 2025 Pre-Funded Warrant, which represents the per share offering price for the ordinary shares less the $0.0001 per share exercise price for each 2025 Pre-Funded Warrant. These 2025 Pre-Funded Warrants were recorded as a component of shareholders’ equity within additional paid-in capital. The gross proceeds to the Company from the December 2025 Offering were approximately $402.5 million before deducting underwriting discounts and commissions and other offering expenses, and including gross proceeds from the exercise of the Underwriters’ option to purchase additional shares in full. The 2025 Pre-Funded Warrants are exercisable at any time after their original issuance and on or prior to the five-year anniversary of the original issuance date. A holder of the 2025 Pre-Funded Warrants may not exercise the warrant if the holder, together with its affiliates, would beneficially own more than 4.99% (or at the election of such holder, 9.99% or 19.99%) of the number of the Company’s ordinary shares outstanding or more than 4.99% (or at the election of such holder, 9.99% or 19.99%) of the combined voting power of the Company’s securities outstanding immediately after giving effect to such exercise, unless and until shareholder approval is obtained.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Features of the Series A Preferred Shares and Ordinary Shares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Series A preferred shares and ordinary shares have no par value and there is no concept of authorized share capital under Singapore law. The Series A preferred shares are not redeemable and have no entitlement to dividends.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holders of Series A preferred shares are not entitled to vote on any of the matters proposed to shareholders, other than as specified in the Company's Constitution. The holders of ordinary shares are entitled to one vote for each ordinary share held at all meetings of shareholders and written actions in lieu of meetings.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dividends, if any, shall be declared and paid pro rata according to the number of ordinary shares held by each member entitled to receive dividends. The Company’s board of directors may deduct from any dividend all sums of money presently payable by the member to the Company on account of calls.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or a return of capital by the Company, the ordinary shares will rank equally with the Series A preferred shares after the payment of the liquidation preference of an aggregate of approximately $10 thousand for Series A preferred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Wave Life Sciences Ltd. 2021 Equity Incentive Plan was approved by the Company’s shareholders and went into effect on August 10, 2021 and was amended effective as of August 9, 2022, August 1, 2023, August 6, 2024, and August 5, 2025 (as amended, the “2021 Plan”). The 2021 Plan serves as the successor to the Wave Life Sciences Ltd. 2014 Equity Incentive Plan, as amended (the “2014 Plan”), such that outstanding awards granted under the 2014 Plan continue to be governed by the terms of the 2014 Plan, but no awards may be made under the 2014 Plan after August 10, 2021. The aggregate number of ordinary shares authorized for issuance of awards under the 2021 Plan was originally 5,450,000 ordinary shares, and was subsequently increased to 11,450,000, 17,950,000, 22,950,000, and 30,950,000 in August 2022, August 2023, August 2024, and August 2025 respectively, plus the number of ordinary shares underlying any awards under the 2014 Plan that are forfeited, cancelled or otherwise terminated (other than by exercise or withheld by the Company to satisfy any tax withholding obligation) on or after August 10, 2021.</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2021 Plan authorizes (and the 2014 Plan previously authorized) the board of directors or a committee of the board of directors to, among other things, grant non-qualified share options, restricted awards, which include restricted shares and restricted share units (“RSUs”), and performance awards to eligible employees, consultants, and non-employee directors of the Company. The Company accounts for grants to its non-employee directors as grants to employees.</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2025, 9,808,797 ordinary shares remained available for future grant under the 2021 Plan. In accordance with Nasdaq Listing Rule 5635(c)(4), the board of directors or a committee of the board may also issue inducement grants outside of the 2021 Plan, as an inducement material to an individual's entering into employment with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 and 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option activity is summarized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6"/>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6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5"/>
                <w:szCs w:val="15"/>
                <w:color w:val="auto"/>
              </w:rPr>
            </w:pPr>
          </w:p>
        </w:tc>
        <w:tc>
          <w:tcPr>
            <w:tcW w:w="1260" w:type="dxa"/>
            <w:vAlign w:val="bottom"/>
            <w:gridSpan w:val="3"/>
          </w:tcPr>
          <w:p>
            <w:pPr>
              <w:jc w:val="center"/>
              <w:ind w:right="120"/>
              <w:spacing w:after="0" w:line="175" w:lineRule="exact"/>
              <w:rPr>
                <w:sz w:val="20"/>
                <w:szCs w:val="20"/>
                <w:color w:val="auto"/>
              </w:rPr>
            </w:pPr>
            <w:r>
              <w:rPr>
                <w:rFonts w:ascii="Times New Roman" w:cs="Times New Roman" w:eastAsia="Times New Roman" w:hAnsi="Times New Roman"/>
                <w:sz w:val="14"/>
                <w:szCs w:val="14"/>
                <w:b w:val="1"/>
                <w:bCs w:val="1"/>
                <w:color w:val="auto"/>
                <w:w w:val="97"/>
              </w:rPr>
              <w:t>(in thousands)</w:t>
            </w:r>
            <w:r>
              <w:rPr>
                <w:rFonts w:ascii="Times New Roman" w:cs="Times New Roman" w:eastAsia="Times New Roman" w:hAnsi="Times New Roman"/>
                <w:sz w:val="19"/>
                <w:szCs w:val="19"/>
                <w:b w:val="1"/>
                <w:bCs w:val="1"/>
                <w:color w:val="auto"/>
                <w:w w:val="97"/>
                <w:vertAlign w:val="superscript"/>
              </w:rPr>
              <w:t>(1)</w:t>
            </w: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19,453,131</w:t>
            </w: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5,030,825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(3,428,883)</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 or cancelled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(728,202)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20,326,871</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as of December 31, 2025</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10,309,498</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6.70</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5.82</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116,543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-187960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520" w:right="50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share options and the fair value of the Company’s ordinary shares for those share options that had exercise prices lower than the fair value of the ordinary shares as of the end of the period.</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Options generally vest over periods of one to four years, and options that are forfeited or cancelled are available to be granted again. The contractual life of options is generally five or ten years from the grant date.</w:t>
      </w:r>
    </w:p>
    <w:p>
      <w:pPr>
        <w:spacing w:after="0" w:line="54"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There were no equity grants made to consultants during the years ended December 31, 2023, 2024, and one equity grant to a consultant in 2025. The assumptions used in the Black-Scholes option pricing model to determine the fair value of share options granted to employees, consultants, and non-employee directors during the period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360" w:type="dxa"/>
            <w:vAlign w:val="bottom"/>
            <w:tcBorders>
              <w:bottom w:val="single" w:sz="8" w:color="auto"/>
            </w:tcBorders>
            <w:gridSpan w:val="2"/>
          </w:tcPr>
          <w:p>
            <w:pPr>
              <w:jc w:val="center"/>
              <w:ind w:left="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5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4.43%</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18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4.64%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4.71%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6.1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gridSpan w:val="2"/>
            <w:shd w:val="clear" w:color="auto" w:fill="CFF0FC"/>
          </w:tcPr>
          <w:p>
            <w:pPr>
              <w:jc w:val="center"/>
              <w:ind w:left="73"/>
              <w:spacing w:after="0"/>
              <w:rPr>
                <w:sz w:val="20"/>
                <w:szCs w:val="20"/>
                <w:color w:val="auto"/>
              </w:rPr>
            </w:pPr>
            <w:r>
              <w:rPr>
                <w:rFonts w:ascii="Times New Roman" w:cs="Times New Roman" w:eastAsia="Times New Roman" w:hAnsi="Times New Roman"/>
                <w:sz w:val="18"/>
                <w:szCs w:val="18"/>
                <w:color w:val="auto"/>
                <w:w w:val="98"/>
              </w:rPr>
              <w:t>90% – 100%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80" w:type="dxa"/>
            <w:vAlign w:val="bottom"/>
            <w:gridSpan w:val="4"/>
            <w:shd w:val="clear" w:color="auto" w:fill="CFF0FC"/>
          </w:tcPr>
          <w:p>
            <w:pPr>
              <w:jc w:val="center"/>
              <w:ind w:right="320"/>
              <w:spacing w:after="0"/>
              <w:rPr>
                <w:sz w:val="20"/>
                <w:szCs w:val="20"/>
                <w:color w:val="auto"/>
              </w:rPr>
            </w:pPr>
            <w:r>
              <w:rPr>
                <w:rFonts w:ascii="Times New Roman" w:cs="Times New Roman" w:eastAsia="Times New Roman" w:hAnsi="Times New Roman"/>
                <w:sz w:val="18"/>
                <w:szCs w:val="18"/>
                <w:color w:val="auto"/>
                <w:w w:val="98"/>
              </w:rPr>
              <w:t>88% – 100%</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93%</w:t>
            </w: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99"/>
              </w:rPr>
              <w:t>0%</w:t>
            </w:r>
          </w:p>
        </w:tc>
        <w:tc>
          <w:tcPr>
            <w:tcW w:w="1900" w:type="dxa"/>
            <w:vAlign w:val="bottom"/>
            <w:gridSpan w:val="4"/>
          </w:tcPr>
          <w:p>
            <w:pPr>
              <w:jc w:val="center"/>
              <w:ind w:left="215"/>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r>
      <w:tr>
        <w:trPr>
          <w:trHeight w:val="738"/>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F-19</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RSU activity for the year ended December 31, 2025 is summarized as follows: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3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dollars per</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832,043</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(262,218)</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(112,924)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Outstanding at December 31, 2025</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1,777,416</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RSUs can be time-based or performance-based. Vesting of the performance-based RSUs is contingent on the occurrence of certain regulatory or commercial milestones. In March 2021, the Compensation Committee approved an amendment and restatement of the Company’s outstanding 2019 performance-based RSUs to add an additional milestone to the existing milestones. In 2021, the Company also granted performance-based RSUs with the same terms to certain employees who did not receive the 2019 performance-based RSUs. The Company did not recognize expense in 2024 related to the performance-based RSUs as the remaining milestones were not considered probable of achievement. In April 2022, the Company determined that a performance-based RSU milestone was achieved and consequently 50% of the outstanding performance-based RSUs vested, which resulted in the issuance of 384,646 ordinary shares. During the year ended December 31, 2022, the Company recorded share-based compensation expense of approximately $3.8 million related to the performance-based RSUs, which represents all of the expense related to the achievement of this performance-based RSU milestone. During the years ended December 31, 2025, 2024, and 2023, the Company recognized share-based compensation expense of $4.1 million, $0.8 million, and $1.0 million, respectively, related to RSUs.</w:t>
      </w:r>
    </w:p>
    <w:p>
      <w:pPr>
        <w:spacing w:after="0" w:line="8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RSUs that are forfeited are available to be granted again. During the year ended December 31, 2025, 1,320,515 time-based RSUs were granted to employees and non-employee directors. Of the RSUs outstanding at December 31, 2025, 1,489,849 are time-based RSUs and 287,567 are performance-based RSUs. Time-based RSUs generally vest over periods of one to four years.</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recognized share-based compensation expense related to options of $20.2 million, $11.9 million, and $8.5 million, respectively. The total intrinsic value of options exercised was $27.2 million, $4.4 million, and $0.3 million, for the years ended December 31, 2025, 2024, and 2023, respectively. As of December 31, 2025, the unrecognized compensation cost related to outstanding options was $47.1 million. The unrecognized compensation cost related to outstanding options is expected to be recognized over a weighted-average period of approximately 2.37 years. For the years ended December 31, 2025 and 2024, the weighted-average grant date fair value per granted option was $8.12 and $3.38, respectively. The aggregate fair value of options that vested during the years ended December 31, 2025 and 2024 was $124.1 million and $11.4 million, respectively.</w:t>
      </w:r>
    </w:p>
    <w:p>
      <w:pPr>
        <w:spacing w:after="0" w:line="8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unrecognized compensation costs related to outstanding time-based RSUs was $11.9 million as of December 31, 2025, and is expected to be recognized over a weighted-average period of approximately 2.80 years. The total fair value of RSUs vested during the years ended December 31, 2025, and 2024 was $2.2 million and $0.7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2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The Wave Life Sciences Ltd. Employee Share Purchase Plan, as amended ("ESPP"), allows full-time and certain part-time employees to purchase the Company’s ordinary shares at a discount to fair market value. Eligible employees may enroll in a six-month offering period beginning every January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and July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Shares are purchased at a price equal to 85% of the lower of the fair market value of the Company’s ordinary shares on the first business day or the last business day of an offering period. During the years ended December 31, 2025, and 2024, 152,621 and 176,498 ordinary shares were issued under the ESPP, respectively. The aggregate number of ordinary shares authorized for issuance under the ESPP was originally 1,000,000 and was subsequently increased to 3,000,000 in August 2023. As of December 31, 2025, there were 2,161,381 ordinary shares available for issuance under the ESPP.</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for the years ended December 31, 2025, 2024, and 2023 is classified as operating expenses in the consolidated statements of operations and comprehensive loss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5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77"/>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6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Pr>
          <w:p>
            <w:pPr>
              <w:spacing w:after="0"/>
              <w:rPr>
                <w:sz w:val="18"/>
                <w:szCs w:val="18"/>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24,973</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100" w:type="dxa"/>
            <w:vAlign w:val="bottom"/>
            <w:shd w:val="clear" w:color="auto" w:fill="CFF0FC"/>
          </w:tcPr>
          <w:p>
            <w:pPr>
              <w:spacing w:after="0"/>
              <w:rPr>
                <w:sz w:val="19"/>
                <w:szCs w:val="19"/>
                <w:color w:val="auto"/>
              </w:rPr>
            </w:pP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lease arrangements for its facilities. A summary of the arrangements is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Lexington</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September 26, 2016, and as amended on December 31, 2016, the Company entered into a 10 year and 9-month lease, which includes two successive five-year renewal options, for its facility in Lexington, Massachusetts, which the Company uses primarily for its current good manufacturing practices (“cGMP”) manufacturing, as well as for additional laboratory and office space. As there is not reasonable certainty that the renewal options will be exercised, the lease liabilities and the right-of-use assets pertaining to the Lexington Lease do not account for the two successive five-year renewal options. Throughout the term of the lease, the Company is responsible for paying certain costs and expenses, in addition to the rent, as specified in the lease, including a proportionate share of applicable taxes, operating expenses and utilities. As required under the terms of the lease agreement, the Company has placed restricted cash of approximately $2.8 million in a separate bank account as of December 31, 2025 and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Cambridge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2015, the Company entered into a lease agreement for an office and laboratory facility in Cambridge, Massachusetts (the “Cambridge Lease”), which commenced in October 2015 with a term of 7.5 years with a five-year renewal option to extend the lease. Throughout the term of the lease, the Company is responsible for paying certain costs and expenses, in addition to the rent, as specified in the lease, including a proportionate share of applicable taxes, operating expenses and utilities. As required under the terms of the lease agreement, the Company has placed restricted cash of $1.0 million in a separate bank account as of December 31, 2025 and 2024.</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December 2020, the Company exercised its option under the Cambridge Lease to lease the additional office and laboratory space at the existing facility. The combined space constitutes the entire building. The lease for the additional space commenced on October 1, 2021, with a term of five years and is considered a separate lease from the Cambridge Lease. On the commencement date, the Company utilized the operating lease classification and recorded a right-of-use asset and corresponding operating lease liability of $4.5 million and began recognizing straight-line rent expense under ASC 842. Throughout the term of the lease, the Company is responsible for paying certain costs and expenses, in addition to the rent, as specified in the lease, including a proportionate share of applicable taxes, operating expenses and utilities.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June 2022, the Company exercised the five-year renewal option under the Cambridge Lease to extend the lease term through March 2028 (the “Cambridge Lease Extension”). Therefore, as required by ASC 842, the Company calculated an incremental borrowing rate of 10.53% and remeasured the right-of-use asset and the lease liabilities related to the Cambridge Lease Extension. As a result, an additional $12.0 million of operating right-of-use asset and corresponding operating lease liabilities were recorded relating to the Cambridge Lease Extension.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20" w:name="page121"/>
    <w:bookmarkEnd w:id="120"/>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contains a summary of the lease costs recognized under ASC 842 and other information pertaining to the Company’s operating leases for the years ended December 31, 2025 and 2024:</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gridSpan w:val="8"/>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2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2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Operating cash flows used for operating</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2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2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 years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 years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-993775</wp:posOffset>
            </wp:positionV>
            <wp:extent cx="1117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-993775</wp:posOffset>
            </wp:positionV>
            <wp:extent cx="1111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-993775</wp:posOffset>
            </wp:positionV>
            <wp:extent cx="1111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as of December 31, 2025, are as follows:</w:t>
      </w:r>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(in thousands)</w:t>
            </w:r>
          </w:p>
        </w:tc>
      </w:tr>
      <w:tr>
        <w:trPr>
          <w:trHeight w:val="216"/>
        </w:trPr>
        <w:tc>
          <w:tcPr>
            <w:tcW w:w="2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(1,691)</w:t>
            </w:r>
          </w:p>
        </w:tc>
      </w:tr>
      <w:tr>
        <w:trPr>
          <w:trHeight w:val="249"/>
        </w:trPr>
        <w:tc>
          <w:tcPr>
            <w:tcW w:w="20" w:type="dxa"/>
            <w:vAlign w:val="bottom"/>
          </w:tcPr>
          <w:p>
            <w:pPr>
              <w:spacing w:after="0"/>
              <w:rPr>
                <w:sz w:val="21"/>
                <w:szCs w:val="21"/>
                <w:color w:val="auto"/>
              </w:rPr>
            </w:pPr>
          </w:p>
        </w:tc>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-316230</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ind w:right="7580" w:firstLine="8"/>
        <w:spacing w:after="0" w:line="378" w:lineRule="auto"/>
        <w:tabs>
          <w:tab w:leader="none" w:pos="1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Unasserted Claims</w:t>
      </w: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and other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ORDINARY SHARE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December 2025 Offering, the Company sold 2,631,578 2025 Pre-Funded Warrants, which are included in the total vested and exercisable pre-funded warrants (the Company's pre-funded warrants outstanding are collectively referred to as the “Pre-Funded Warrants”). As of December 31, 2025 and 2024, there were 11,600,257 and 8,968,679, respectively, vested and exercisable Pre-Funded Warrants outstanding to purchase ordinary shares for the exercise price of $0.0001 per share, provided that, unless and until the Company obtains shareholder approval for the issuance of the shares underlying the Pre-Funded Warrants, a holder will not be entitled to exercise any portion of any Pre-Funded Warrant, which, upon giving effect to such exercise, would cause (i) the aggregate number of our ordinary shares beneficially owned by the holder (together with its affiliates) to exceed, depending on the terms of the applicable Pre-Funded Warrants and in certain cases at the election of the holder, either 4.99%, 9.99% or 19.99% of the number of our ordinary shares outstanding immediately after giving effect to the exercise, or (ii) the combined voting power of our securities beneficially owned by the holder (together with its affiliates) to exceed, depending on the terms of the applicable Pre-Funded Warrants and in certain cases at the election of the holder, either 4.99%, 9.99% or 19.99% of the combined voting power of all of our securities then outstanding immediately after giving effect to the exercise, as such percentage ownership is determined in accordance with the terms of the applicable Pre-Funded Warrants. The Pre-Funded Warrants are included in the weighted-average shares outstanding used in the calculation of basic net loss per share as the exercise price is negligible and the warrants are fully vested and exercisable.</w:t>
      </w:r>
    </w:p>
    <w:p>
      <w:pPr>
        <w:spacing w:after="0" w:line="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Basic loss per share is computed by dividing net loss attributable to ordinary shareholders by the weighted-average number of ordinary shares outstanding.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1" w:name="page122"/>
    <w:bookmarkEnd w:id="121"/>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shares, which include outstanding share options to purchase ordinary shares and RSUs, are considered to be ordinary share equivalents and are only included in the calculation of diluted net loss per share when their effect is dilutive.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computation of the Company’s basic and diluted net loss attributable to ordinary shareholders: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20" w:type="dxa"/>
            <w:vAlign w:val="bottom"/>
            <w:gridSpan w:val="7"/>
          </w:tcPr>
          <w:p>
            <w:pPr>
              <w:jc w:val="right"/>
              <w:spacing w:after="0" w:line="142" w:lineRule="exact"/>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ordinary shareholders</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(204,378)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(97,008)</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(57,513)</w:t>
            </w:r>
          </w:p>
        </w:tc>
      </w:tr>
      <w:tr>
        <w:trPr>
          <w:trHeight w:val="20"/>
        </w:trPr>
        <w:tc>
          <w:tcPr>
            <w:tcW w:w="5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ordinary shares outstanding</w:t>
            </w:r>
          </w:p>
        </w:tc>
        <w:tc>
          <w:tcPr>
            <w:tcW w:w="1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168,649,795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138,277,468</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106,097,268</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8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4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FF0FC"/>
            </w:tcBorders>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(0.70)</w:t>
            </w:r>
          </w:p>
        </w:tc>
        <w:tc>
          <w:tcPr>
            <w:tcW w:w="400" w:type="dxa"/>
            <w:vAlign w:val="bottom"/>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(0.54)</w:t>
            </w: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potential ordinary shares, presented based on amounts outstanding at each period end, were excluded from the calculation of diluted net loss per share attributable to ordinary shareholders for the periods indicated because including them would have had an anti-dilutive effect: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20,326,871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19,453,131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14,107,710</w:t>
            </w:r>
          </w:p>
        </w:tc>
        <w:tc>
          <w:tcPr>
            <w:tcW w:w="100" w:type="dxa"/>
            <w:vAlign w:val="bottom"/>
            <w:shd w:val="clear" w:color="auto" w:fill="CFF0FC"/>
          </w:tcPr>
          <w:p>
            <w:pPr>
              <w:spacing w:after="0"/>
              <w:rPr>
                <w:sz w:val="18"/>
                <w:szCs w:val="18"/>
                <w:color w:val="auto"/>
              </w:rPr>
            </w:pP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1,777,416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832,043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637,557</w:t>
            </w:r>
          </w:p>
        </w:tc>
        <w:tc>
          <w:tcPr>
            <w:tcW w:w="100" w:type="dxa"/>
            <w:vAlign w:val="bottom"/>
          </w:tcPr>
          <w:p>
            <w:pPr>
              <w:spacing w:after="0"/>
              <w:rPr>
                <w:sz w:val="20"/>
                <w:szCs w:val="20"/>
                <w:color w:val="auto"/>
              </w:rPr>
            </w:pPr>
          </w:p>
        </w:tc>
      </w:tr>
      <w:tr>
        <w:trPr>
          <w:trHeight w:val="41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loss before income taxes were as follows: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left="15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Singapore</w:t>
            </w: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(6,042)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(7,441)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(198,336)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(92,806)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(50,749)</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(204,378)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(97,008)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(58,190)</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-24765</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recorded no income tax benefit or provision. During the year ended December 31, 2023, the Company recorded an income tax benefit of $0.7 million. The income tax benefit for the year ended December 31, 2023 was due to a change in estimate in connection with U.S. tax guidance relating to the capitalization of research and development expenditures.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benefit for income taxes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4"/>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benefit for income taxes:</w:t>
            </w:r>
          </w:p>
        </w:tc>
        <w:tc>
          <w:tcPr>
            <w:tcW w:w="17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250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 of world</w:t>
            </w:r>
          </w:p>
        </w:tc>
        <w:tc>
          <w:tcPr>
            <w:tcW w:w="17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benefit for income taxes</w:t>
            </w:r>
          </w:p>
        </w:tc>
        <w:tc>
          <w:tcPr>
            <w:tcW w:w="250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benefit for income taxes:</w:t>
            </w:r>
          </w:p>
        </w:tc>
        <w:tc>
          <w:tcPr>
            <w:tcW w:w="17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250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 of world</w:t>
            </w:r>
          </w:p>
        </w:tc>
        <w:tc>
          <w:tcPr>
            <w:tcW w:w="17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benefit for income taxes</w:t>
            </w:r>
          </w:p>
        </w:tc>
        <w:tc>
          <w:tcPr>
            <w:tcW w:w="250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benefit for income taxes</w:t>
            </w:r>
          </w:p>
        </w:tc>
        <w:tc>
          <w:tcPr>
            <w:tcW w:w="250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356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ind w:left="760"/>
              <w:spacing w:after="0"/>
              <w:rPr>
                <w:sz w:val="20"/>
                <w:szCs w:val="20"/>
                <w:color w:val="auto"/>
              </w:rPr>
            </w:pPr>
            <w:r>
              <w:rPr>
                <w:rFonts w:ascii="Times New Roman" w:cs="Times New Roman" w:eastAsia="Times New Roman" w:hAnsi="Times New Roman"/>
                <w:sz w:val="18"/>
                <w:szCs w:val="18"/>
                <w:color w:val="auto"/>
              </w:rPr>
              <w:t>F-23</w:t>
            </w:r>
          </w:p>
        </w:tc>
        <w:tc>
          <w:tcPr>
            <w:tcW w:w="7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-1790700</wp:posOffset>
            </wp:positionV>
            <wp:extent cx="51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-1790700</wp:posOffset>
            </wp:positionV>
            <wp:extent cx="514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-1790700</wp:posOffset>
            </wp:positionV>
            <wp:extent cx="514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-1224915</wp:posOffset>
            </wp:positionV>
            <wp:extent cx="5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-1224915</wp:posOffset>
            </wp:positionV>
            <wp:extent cx="514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-1224915</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-933450</wp:posOffset>
            </wp:positionV>
            <wp:extent cx="514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-916305</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-933450</wp:posOffset>
            </wp:positionV>
            <wp:extent cx="514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-916305</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A reconciliation of the Singapore statutory income tax rate to the Company’s effective income tax rate is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3"/>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312"/>
              <w:spacing w:after="0" w:line="124"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Singapore statutory income tax rate</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(34,744)</w:t>
            </w:r>
          </w:p>
        </w:tc>
        <w:tc>
          <w:tcPr>
            <w:tcW w:w="2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left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left w:val="single" w:sz="8" w:color="CFF0FC"/>
            </w:tcBorders>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Statutory tax rate difference between U.S. federal and Singapore</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(5,078)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left w:val="single" w:sz="8" w:color="CFF0FC"/>
            </w:tcBorders>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(4,962)</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Orphan drug credit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(3,675)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left w:val="single" w:sz="8" w:color="CFF0FC"/>
            </w:tcBorders>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left w:val="single" w:sz="8" w:color="CFF0FC"/>
            </w:tcBorders>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left w:val="single" w:sz="8" w:color="CFF0FC"/>
            </w:tcBorders>
            <w:gridSpan w:val="4"/>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1</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UK</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left w:val="single" w:sz="8" w:color="CFF0FC"/>
            </w:tcBorders>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Statutory tax rate difference between the United Kingdom and Singapore</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(5,409)</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left w:val="single" w:sz="8" w:color="CFF0FC"/>
            </w:tcBorders>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tcBorders>
              <w:left w:val="single" w:sz="8" w:color="CFF0FC"/>
              <w:bottom w:val="single" w:sz="8" w:color="auto"/>
            </w:tcBorders>
            <w:gridSpan w:val="3"/>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Other Foreign Jurisdictions</w:t>
            </w:r>
          </w:p>
        </w:tc>
        <w:tc>
          <w:tcPr>
            <w:tcW w:w="37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gridSpan w:val="2"/>
            <w:shd w:val="clear" w:color="auto" w:fill="CFF0FC"/>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gridSpan w:val="2"/>
            <w:shd w:val="clear" w:color="auto" w:fill="CFF0FC"/>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left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720" w:type="dxa"/>
            <w:vAlign w:val="bottom"/>
            <w:tcBorders>
              <w:left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3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-25400</wp:posOffset>
            </wp:positionV>
            <wp:extent cx="514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514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1111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1111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 Includes United States state and local income taxes, net of federal income tax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Singapore statutory income tax rate to the Company’s effective income tax rate is as follows:</w:t>
      </w:r>
    </w:p>
    <w:p>
      <w:pPr>
        <w:spacing w:after="0" w:line="21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00" w:type="dxa"/>
            <w:vAlign w:val="bottom"/>
            <w:gridSpan w:val="2"/>
          </w:tcPr>
          <w:p>
            <w:pPr>
              <w:spacing w:after="0"/>
              <w:rPr>
                <w:sz w:val="12"/>
                <w:szCs w:val="12"/>
                <w:color w:val="auto"/>
              </w:rPr>
            </w:pPr>
          </w:p>
        </w:tc>
        <w:tc>
          <w:tcPr>
            <w:tcW w:w="10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Singapore statutory income tax rate</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and state tax credits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reserves for uncertain tax positions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rate change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(26.0)</w:t>
            </w: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adjustments</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vMerge w:val="continue"/>
          </w:tcPr>
          <w:p>
            <w:pPr>
              <w:spacing w:after="0"/>
              <w:rPr>
                <w:sz w:val="21"/>
                <w:szCs w:val="21"/>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700" w:type="dxa"/>
            <w:vAlign w:val="bottom"/>
          </w:tcPr>
          <w:p>
            <w:pPr>
              <w:spacing w:after="0"/>
              <w:rPr>
                <w:sz w:val="24"/>
                <w:szCs w:val="24"/>
                <w:color w:val="auto"/>
              </w:rPr>
            </w:pPr>
          </w:p>
        </w:tc>
        <w:tc>
          <w:tcPr>
            <w:tcW w:w="4200" w:type="dxa"/>
            <w:vAlign w:val="bottom"/>
            <w:tcBorders>
              <w:top w:val="single" w:sz="8" w:color="CFF0FC"/>
            </w:tcBorders>
          </w:tcPr>
          <w:p>
            <w:pPr>
              <w:ind w:left="3760"/>
              <w:spacing w:after="0"/>
              <w:rPr>
                <w:sz w:val="20"/>
                <w:szCs w:val="20"/>
                <w:color w:val="auto"/>
              </w:rPr>
            </w:pPr>
            <w:r>
              <w:rPr>
                <w:rFonts w:ascii="Times New Roman" w:cs="Times New Roman" w:eastAsia="Times New Roman" w:hAnsi="Times New Roman"/>
                <w:sz w:val="18"/>
                <w:szCs w:val="18"/>
                <w:color w:val="auto"/>
              </w:rPr>
              <w:t>F-24</w:t>
            </w:r>
          </w:p>
        </w:tc>
        <w:tc>
          <w:tcPr>
            <w:tcW w:w="10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-933450</wp:posOffset>
            </wp:positionV>
            <wp:extent cx="1111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-916305</wp:posOffset>
            </wp:positionV>
            <wp:extent cx="1111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-933450</wp:posOffset>
            </wp:positionV>
            <wp:extent cx="1111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-916305</wp:posOffset>
            </wp:positionV>
            <wp:extent cx="1111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as of December 31, 2025 and 2024 are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56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w w:val="82"/>
              </w:rPr>
              <w:t>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243,030</w:t>
            </w:r>
          </w:p>
        </w:tc>
        <w:tc>
          <w:tcPr>
            <w:tcW w:w="140" w:type="dxa"/>
            <w:vAlign w:val="bottom"/>
          </w:tcPr>
          <w:p>
            <w:pPr>
              <w:spacing w:after="0"/>
              <w:rPr>
                <w:sz w:val="18"/>
                <w:szCs w:val="18"/>
                <w:color w:val="auto"/>
              </w:rPr>
            </w:pPr>
          </w:p>
        </w:tc>
        <w:tc>
          <w:tcPr>
            <w:tcW w:w="4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Federal and state tax credits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329,747</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276,978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8"/>
                <w:szCs w:val="18"/>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(326,689)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(3,054)</w:t>
            </w: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(3,058)</w:t>
            </w: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valuation allowance for the years ended December 31, 2025 and 2024 is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5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w w:val="82"/>
              </w:rPr>
              <w:t>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272,313</w:t>
            </w:r>
          </w:p>
        </w:tc>
        <w:tc>
          <w:tcPr>
            <w:tcW w:w="5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247,193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20" w:type="dxa"/>
            <w:vAlign w:val="bottom"/>
          </w:tcPr>
          <w:p>
            <w:pPr>
              <w:spacing w:after="0"/>
              <w:rPr>
                <w:sz w:val="18"/>
                <w:szCs w:val="18"/>
                <w:color w:val="auto"/>
              </w:rPr>
            </w:pPr>
          </w:p>
        </w:tc>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326,689</w:t>
            </w: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272,313</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-170815</wp:posOffset>
            </wp:positionV>
            <wp:extent cx="431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 had federal net operating loss carryforwards in the United States of $501.3 million, of which $500.5 million may be available to offset future U.S. federal taxable income indefinitely, while $0.8 million of the carryforwards may offset future U.S. federal taxable income through 2037. As of December 31, 2025, the Company had U.S. state net operating loss carryforwards of $150.1 million available to offset future U.S. state taxable income that will begin to expire in 2038. As of December 31, 2025 and 2024, the Company had U.S. federal research and development tax credit carryforwards of $15.1 million and $11.2 million, respectively, available to offset future U.S. federal income taxes and will begin to expire in 2042. As of December 31, 2025 and 2024, the Company had U.S. state research and development tax credit carryforwards of $7.0 million and $4.8 million, respectively, available to offset future U.S. state income taxes and will begin to expire in 2037. As of December 31, 2025 and 2024, the Company had a U.S. orphan drug credit carryforward of $3.7 million and $0.8 million, respectively, available to offset future U.S. federal income taxes that will begin to expire in 2042.</w:t>
      </w:r>
    </w:p>
    <w:p>
      <w:pPr>
        <w:spacing w:after="0" w:line="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net operating loss carryforwards in Japan of $0.1 million and $0.7 million, respectively, which may be available to offset future Japan taxable income and begin to expire in 2027.</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net operating loss carryforwards in Singapore of $144.8 million and $132.7 million, respectively, which may be available to offset future Singapore taxable income and can be carried forward indefinitely.</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net operating loss carryforwards in the United Kingdom (“UK”) of $414.7 million and $339.5 million, respectively, which may be available to offset future UK taxable income and can be carried forward indefinitely.</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its deferred tax assets. As of December 31, 2025,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in all jurisdictions. Accordingly, a full valuation allowance has been established against the Company's deferred tax assets as of December 31, 2025.</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4" w:name="page125"/>
    <w:bookmarkEnd w:id="124"/>
    <w:p>
      <w:pPr>
        <w:ind w:right="160"/>
        <w:spacing w:after="0" w:line="261" w:lineRule="auto"/>
        <w:rPr>
          <w:sz w:val="20"/>
          <w:szCs w:val="20"/>
          <w:color w:val="auto"/>
        </w:rPr>
      </w:pPr>
      <w:r>
        <w:rPr>
          <w:rFonts w:ascii="Times New Roman" w:cs="Times New Roman" w:eastAsia="Times New Roman" w:hAnsi="Times New Roman"/>
          <w:sz w:val="18"/>
          <w:szCs w:val="18"/>
          <w:color w:val="auto"/>
        </w:rPr>
        <w:t>The valuation allowance increased by $54.4 million in 2025. The increase in the valuation allowance for 2025 was primarily a result of operating losses generated with no corresponding financial statement benefit. The Company may release this valuation allowance when management determines that it is more-likely-than-not that the deferred tax assets will be realized. Any release of valuation allowance will be recorded as a tax benefit either increasing net income or decreasing net loss.</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reserves related to income taxes and its accounting for uncertain tax positions are based on a determination of whether and how much of a tax benefit taken by the Company in its tax filings or positions is more-likely-than-not to be realized following resolution of any potential contingencies present related to the tax benefit.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in the Company’s gross unrecognized tax benefits, excluding interest and penalties, is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142"/>
        </w:trPr>
        <w:tc>
          <w:tcPr>
            <w:tcW w:w="4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 at the beginning of the year</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15,790</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13,945</w:t>
            </w:r>
          </w:p>
        </w:tc>
        <w:tc>
          <w:tcPr>
            <w:tcW w:w="8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 related to prior years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positions related to the current year</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Tax position releases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 at the end of the year</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21,371</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15,790</w:t>
            </w:r>
          </w:p>
        </w:tc>
        <w:tc>
          <w:tcPr>
            <w:tcW w:w="80" w:type="dxa"/>
            <w:vAlign w:val="bottom"/>
            <w:shd w:val="clear" w:color="auto" w:fill="CFF0FC"/>
          </w:tcPr>
          <w:p>
            <w:pPr>
              <w:spacing w:after="0"/>
              <w:rPr>
                <w:sz w:val="19"/>
                <w:szCs w:val="19"/>
                <w:color w:val="auto"/>
              </w:rPr>
            </w:pP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514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514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total amount of gross unrecognized tax benefits, which excludes interest and penalties, was $21.4 million and $20.8 million, respectively. At December 31, 2025, none of the net unrecognized tax benefits would affect the Company’s effective tax rate due to the Company's full valuation allowance.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the jurisdictions in which it operates. In the normal course of business, the Company is subject to examination by various tax authorities in the United States, Japan, Singapore and the United Kingdom. Tax years from 2022 to the present are still open to examination in the United States, from 2020 to the present in Japan, from 2021 to the present in Singapore and from 2024 to the present in the United Kingdom. To the extent that the Company has tax attribute carryforwards, the tax years in which the attribute was generated may still be adjusted upon examination by the tax authorities to the extent utilized in a future period.</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2025 and 2024, $44.4 million and $37.8 million, respectively, of cash and cash equivalents were held by the Company’s subsidiaries outside of Singapore. The Company does not provide for Singapore income tax or withholding taxes on the outside basis differences, including foreign unremitted earnings of its subsidiaries as they are permanently reinvested. If the Company decides to change its indefinite reversal assertion in the future, the Company may be required to record deferred taxes. Because of the complexity of Singapore and the rest-of-the-world tax rules applicable to the method of recovery of the investment in its subsidiaries, including distribution of earnings from its subsidiaries to Singapore, the determination of the unrecognized deferred tax liability is not practicable.</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Utilization of the net operating loss carryforwards and research and development tax credit carryforwards in the United States may be subject to a substantial annual limitation under Section 382 and Section 383 of the Code, due to ownership changes that have occurred previously or that could occur in the future. These ownership changes may limit the amount of carryforwards that can be utilized annually to offset future taxable income and tax. In general, an ownership change, as defined by Section 382, results from transactions increasing the ownership of certain shareholders or public groups in the shares of a corporation by more than 50% over a three-year period. The Company previously completed Section 382 studies to assess whether there have been ownership changes since its formation through 2022. The results of the studies indicated that the Company experienced ownership changes as defined by Section 382 of the Code, and, as such, the Company adjusted its net operating losses and research and development credit carryforwards to reflect the limitations as a result of such ownership changes. The Company updated its Section 382 study to assess whether there have been ownership changes since December 31, 2022 through 2024 and the Company did not experience any additional ownership changes. Should one or more ownership changes occur in the future, the Company’s ability to utilize its net operating losses and research and development credit carryforwards may be further limited.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BENEFIT PLANS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a 401(k) retirement and savings plan (the “401(k) Plan”) covering employees of Wave USA. The 401(k) Plan allows employees to make contributions up to the maximum allowable amount set by the Internal Revenue Service. Under the 401(k) Plan, the Company may make discretionary contributions as approved by the board of directors. The Company made contributions of $2.0 million and $1.7 million in the years ended December 31, 2025 and 2024,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13. RELATED PARTIES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related party transactions for the periods presented in the accompanying consolidated financial statements:</w:t>
      </w:r>
    </w:p>
    <w:p>
      <w:pPr>
        <w:spacing w:after="0" w:line="117" w:lineRule="exact"/>
        <w:rPr>
          <w:sz w:val="20"/>
          <w:szCs w:val="20"/>
          <w:color w:val="auto"/>
        </w:rPr>
      </w:pPr>
    </w:p>
    <w:p>
      <w:pPr>
        <w:ind w:left="1020" w:right="200" w:hanging="503"/>
        <w:spacing w:after="0" w:line="256"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various contract research service agreements with Shin Nippon Biomedical Laboratories Ltd., a contract research organization and one of the Company’s shareholders, and its affiliates (together, “SNBL”), the Company paid SNBL $1.1 million and $0.9 million, respectively, during each of the years ended December 31, 2025 and 2024. Through December 31, 2025, the Company has paid an aggregate of $3.4 million to SNBL for the aforementioned various service agreements. During each of the years ended December 31, 2025 and 2024, the Company incurred expenses of approximately $4.6 million and $1.0 million, respectively, related to the aforementioned various service agreements.</w:t>
      </w:r>
    </w:p>
    <w:p>
      <w:pPr>
        <w:spacing w:after="0" w:line="29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CODM in deciding how to allocate resources to an individual segment and in assessing performance. The Company operates as a single reporting segment, focused on developing its proprietary RNA medicines platform, PRISM, to develop and commercialize a broad pipeline of RNA medicines in a variety of therapeutic areas. Consistent with our operational structure, our CEO, as the CODM, manages and allocates resources on a consolidated basis at the global corporate level. The results of our operations are reported on a consolidated basis for purposes of segment reporting. The CEO uses consolidated net loss that is reported on the consolidated statements of operations and comprehensive loss for the purposes of assessing performance, allocating resources and planning, monitoring budget versus actual results, and forecasting future periods.</w:t>
      </w:r>
    </w:p>
    <w:p>
      <w:pPr>
        <w:spacing w:after="0" w:line="8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is representative of the significant expense categories regularly provided to the CODM when managing the Company's single reporting segment. A reconciliation to consolidated operating expenses as our single segment operating loss for the years ended December 31, 2025, 2024, and 2023 is included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6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INHBE program</w:t>
            </w:r>
          </w:p>
        </w:tc>
        <w:tc>
          <w:tcPr>
            <w:tcW w:w="124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3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AATD program</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DMD program</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HD program</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 research and development expenses(1), including PNPLA3,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139,203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111,396</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100,433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preclinical programs, PRISM</w:t>
            </w: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182,779</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159,682</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75,331</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59,023</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258,110</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218,705</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-316230</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-316230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76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right="160" w:hanging="3"/>
        <w:spacing w:after="0" w:line="266" w:lineRule="auto"/>
        <w:tabs>
          <w:tab w:leader="none" w:pos="10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expenses related to other research and development programs, identification of potential drug discovery candidates, compensation-related expenses, internal manufacturing expenses, equipment repairs and maintenance expense, facility-related expenses, and other operating expenses, which are not allocated to specific programs.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4.2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12 OF THE SECURITIES EXCHANGE ACT OF 1934</w:t>
      </w:r>
    </w:p>
    <w:p>
      <w:pPr>
        <w:spacing w:after="0" w:line="31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Wave Life Sciences Ltd. (the “Company,” “we,” “us” or “our”) has one class of securities registered under Section 12 of the Securities Exchange Act of 1934, as amended (the “Exchange Act”): our ordinary shares, no par value.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share capital and provisions of our constitution (formerly known as our memorandum and articles of association) are summaries and are qualified by reference to the Companies Act 1967 of Singapore (“Singapore Companies Act”) and our constitution. A copy of our constitution has been filed with the Securities and Exchange Commission as an exhibit to our Annual Report on Form 10-K of which this Exhibit is a part.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2025, our issued and paid-up ordinary share capital consists of 187,660,263 ordinary shares. We currently have only one class of issued ordinary shares, which have identical rights in all respects and rank equally with one another. Our ordinary shares have no par value and there is no authorized share capital under Singapore law. There is a provision in our constitution which provides that we may issue shares with such preferred, deferred or other special rights or such restrictions, whether in regard to dividend, voting, return of capital or otherwise as our board of directors may determine.</w:t>
      </w:r>
    </w:p>
    <w:p>
      <w:pPr>
        <w:spacing w:after="0" w:line="7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All of our shares presently issued are fully paid-up, and existing shareholders are not subject to any calls on these shares. Although Singapore law does not recognize the concept of “non-assessability” with respect to newly-issued shares, we note that any purchaser of our shares who has fully paid up all amounts due with respect to such shares will not be subject under Singapore law to any personal liability to contribute to the assets or liabilities of our company in such purchaser’s capacity solely as a holder of such shares. We believe that this interpretation is substantively consistent with the concept of “non-assessability” under most, if not all, U.S. state corporations laws. All of our shares are in registered form. We cannot, except in the circumstances permitted by the Singapore Companies Act, grant any financial assistance for the acquisition or proposed acquisition of our own shares. Except as described below under “—Takeovers,” there are no limitations imposed by the Singapore Companies Act or by our constitution on the right of shareholders not resident in Singapore to hold or vote ordinary shares.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Computershare Trust Company, N.A.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ordinary shares are listed for quotation on The Nasdaq Global Market under the symbol “WVE.”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Shares</w:t>
      </w:r>
    </w:p>
    <w:p>
      <w:pPr>
        <w:spacing w:after="0" w:line="121"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Under the Singapore Companies Act, new shares may be issued only with the prior approval of our shareholders in a general meeting. General approval may be sought from our shareholders in a general meeting for the issue of shares. Approval, if granted, will lapse at the earlier of:</w:t>
      </w:r>
    </w:p>
    <w:p>
      <w:pPr>
        <w:spacing w:after="0" w:line="54" w:lineRule="exact"/>
        <w:rPr>
          <w:sz w:val="20"/>
          <w:szCs w:val="20"/>
          <w:color w:val="auto"/>
        </w:rPr>
      </w:pPr>
    </w:p>
    <w:p>
      <w:pPr>
        <w:ind w:left="1500" w:hanging="369"/>
        <w:spacing w:after="0"/>
        <w:tabs>
          <w:tab w:leader="none" w:pos="15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conclusion of the next annual general meeting; or</w:t>
      </w:r>
    </w:p>
    <w:p>
      <w:pPr>
        <w:spacing w:after="0" w:line="117" w:lineRule="exact"/>
        <w:rPr>
          <w:rFonts w:ascii="Times New Roman" w:cs="Times New Roman" w:eastAsia="Times New Roman" w:hAnsi="Times New Roman"/>
          <w:sz w:val="14"/>
          <w:szCs w:val="14"/>
          <w:color w:val="auto"/>
        </w:rPr>
      </w:pPr>
    </w:p>
    <w:p>
      <w:pPr>
        <w:ind w:left="1500" w:hanging="369"/>
        <w:spacing w:after="0" w:line="282" w:lineRule="auto"/>
        <w:tabs>
          <w:tab w:leader="none" w:pos="15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expiration of the period within which the next annual general meeting is required by law to be held (i.e., within six months after the end of each financial year),</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but any approval may be revoked or varied by the company in a general meeting.</w:t>
      </w:r>
    </w:p>
    <w:p>
      <w:pPr>
        <w:spacing w:after="0" w:line="11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Our shareholders have provided such general authority to issue new ordinary shares until the conclusion of our 2026 annual general meeting. Such approval will lapse in accordance with the preceding paragraph if our shareholders do not grant a new approval at our 2026 annual general meeting. Subject to this and the provisions of the Singapore Companies Act and our constitution, our board of directors may allot and issue or grant options over or otherwise dispose of new ordinary shares to such persons on such terms and conditions and with the rights and restrictions as they may think fit to impose.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2025, we have 3,901,348 Series A preferred shares outstanding. These shares are currently held by one of our largest shareholders, Shin Nippon Biomedical Laboratories, Ltd. The terms of the Series A preferred shares as set out in our constitution include (1) no voting rights at any general meeting other than in limited circumstances, (2) a liquidation preference equal to $0.002 per Series A preferred share, (3) no entitlement to dividends and (4) the right to convert the Series A preferred shares at any time on a one-for-one basis into ordinary shares at the discretion of the holder in accordance with the constitution.</w:t>
      </w:r>
    </w:p>
    <w:p>
      <w:pPr>
        <w:spacing w:after="0" w:line="75" w:lineRule="exact"/>
        <w:rPr>
          <w:sz w:val="20"/>
          <w:szCs w:val="20"/>
          <w:color w:val="auto"/>
        </w:rPr>
      </w:pPr>
    </w:p>
    <w:p>
      <w:pPr>
        <w:jc w:val="both"/>
        <w:ind w:right="60" w:firstLine="749"/>
        <w:spacing w:after="0" w:line="261" w:lineRule="auto"/>
        <w:rPr>
          <w:sz w:val="20"/>
          <w:szCs w:val="20"/>
          <w:color w:val="auto"/>
        </w:rPr>
      </w:pPr>
      <w:r>
        <w:rPr>
          <w:rFonts w:ascii="Times New Roman" w:cs="Times New Roman" w:eastAsia="Times New Roman" w:hAnsi="Times New Roman"/>
          <w:sz w:val="18"/>
          <w:szCs w:val="18"/>
          <w:color w:val="auto"/>
        </w:rPr>
        <w:t>The holders of the Series A preferred shares are not entitled to vote at any general meeting. The only instances in which the holders of the Series A preferred shares are able to vote at a general meeting would be if (but only if) the matters to be discussed at the meeting relate to or there is intent to pass resolutions on (i) abrogating or changing the rights attached to the Series A preferred shares; and (ii) for the winding up of the Company. Such resolutions would require the unanimous approval of the holders of the Series A preferred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Preferred Shares</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Under the Singapore Companies Act, different classes of shares in a public company may be issued only if (a) the issue of the class or classes of shares is provided for in the constitution of the public company and (b) the constitution of the public company sets out in respect of each class of shares the rights attached to that class of shares. Our constitution provides that we may issue shares of a different class with preferred, deferred or other special rights, or such restrictions, whether in regard to dividend, voting, return of capital or otherwise as our board of directors may determine. Under Singapore law, our preferred shareholders will have the right to attend any general meeting and in a poll at such general meeting, to have at least one vote for every preferred share held:</w:t>
      </w:r>
    </w:p>
    <w:p>
      <w:pPr>
        <w:spacing w:after="0" w:line="79" w:lineRule="exact"/>
        <w:rPr>
          <w:sz w:val="20"/>
          <w:szCs w:val="20"/>
          <w:color w:val="auto"/>
        </w:rPr>
      </w:pPr>
    </w:p>
    <w:p>
      <w:pPr>
        <w:ind w:left="1500" w:right="380" w:hanging="369"/>
        <w:spacing w:after="0" w:line="282" w:lineRule="auto"/>
        <w:tabs>
          <w:tab w:leader="none" w:pos="15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upon any resolution concerning the voluntary winding-up of our company under Section 160 of the Insolvency, Restructuring and Dissolution Act 2018;</w:t>
      </w:r>
    </w:p>
    <w:p>
      <w:pPr>
        <w:spacing w:after="0" w:line="53" w:lineRule="exact"/>
        <w:rPr>
          <w:rFonts w:ascii="Times New Roman" w:cs="Times New Roman" w:eastAsia="Times New Roman" w:hAnsi="Times New Roman"/>
          <w:sz w:val="14"/>
          <w:szCs w:val="14"/>
          <w:color w:val="auto"/>
        </w:rPr>
      </w:pPr>
    </w:p>
    <w:p>
      <w:pPr>
        <w:ind w:left="1500" w:hanging="369"/>
        <w:spacing w:after="0"/>
        <w:tabs>
          <w:tab w:leader="none" w:pos="15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upon any resolution which varies the rights attached to such preferred shares; or</w:t>
      </w:r>
    </w:p>
    <w:p>
      <w:pPr>
        <w:spacing w:after="0" w:line="117" w:lineRule="exact"/>
        <w:rPr>
          <w:rFonts w:ascii="Times New Roman" w:cs="Times New Roman" w:eastAsia="Times New Roman" w:hAnsi="Times New Roman"/>
          <w:sz w:val="14"/>
          <w:szCs w:val="14"/>
          <w:color w:val="auto"/>
        </w:rPr>
      </w:pPr>
    </w:p>
    <w:p>
      <w:pPr>
        <w:ind w:left="1500" w:right="360" w:hanging="369"/>
        <w:spacing w:after="0" w:line="266" w:lineRule="auto"/>
        <w:tabs>
          <w:tab w:leader="none" w:pos="15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 the case of preferred shares issued after August 15, 1984, but before the commencement of Section 96 of the Companies (Amendment) Act 2014, when the dividends to be paid on our preferred shares or any part thereof are more than twelve months in arrears and unpaid, for the period they remain in arrears and unpaid.</w:t>
      </w:r>
    </w:p>
    <w:p>
      <w:pPr>
        <w:spacing w:after="0" w:line="68"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We may, subject to the Singapore Companies Act and the prior approval in a general meeting of our shareholders, issue preferred shares which are, or at our option or are to be, subject to redemption provided that such preferred shares may not be redeemed out of capital unless:</w:t>
      </w:r>
    </w:p>
    <w:p>
      <w:pPr>
        <w:spacing w:after="0" w:line="54" w:lineRule="exact"/>
        <w:rPr>
          <w:sz w:val="20"/>
          <w:szCs w:val="20"/>
          <w:color w:val="auto"/>
        </w:rPr>
      </w:pPr>
    </w:p>
    <w:p>
      <w:pPr>
        <w:ind w:left="1500" w:hanging="369"/>
        <w:spacing w:after="0"/>
        <w:tabs>
          <w:tab w:leader="none" w:pos="15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all the directors have made a solvency statement in relation to such redemption; and</w:t>
      </w:r>
    </w:p>
    <w:p>
      <w:pPr>
        <w:spacing w:after="0" w:line="117" w:lineRule="exact"/>
        <w:rPr>
          <w:rFonts w:ascii="Times New Roman" w:cs="Times New Roman" w:eastAsia="Times New Roman" w:hAnsi="Times New Roman"/>
          <w:sz w:val="14"/>
          <w:szCs w:val="14"/>
          <w:color w:val="auto"/>
        </w:rPr>
      </w:pPr>
    </w:p>
    <w:p>
      <w:pPr>
        <w:ind w:left="760" w:right="1700" w:firstLine="371"/>
        <w:spacing w:after="0" w:line="375" w:lineRule="auto"/>
        <w:tabs>
          <w:tab w:leader="none" w:pos="150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have lodged a copy of the statement with the Accounting and Corporate Regulatory Authority of Singapore. Further, such shares must be fully paid-up before they are redeemed.</w:t>
      </w:r>
    </w:p>
    <w:p>
      <w:pPr>
        <w:spacing w:after="0" w:line="1"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we have no preferred shares outstanding other than the Series A preferred shares described above. At present, we have no plans to issue additional preferred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As of December 31, 2025, we have pre-funded warrants outstanding to purchase up to 11,600,257 ordinary shares. The pre-funded warrants are exercisable at any time after their original issuance and on or prior to 5:00 p.m. (New York City time) on the five year anniversary of the original issuance date, which was June 16, 2022, September 27, 2024 or December 11, 2025, as applicable. The pre-funded warrants are exercisable, at the option of each holder, in whole or in part by delivering to us a duly executed exercise notice and by payment in full of the exercise price in immediately available funds for the number of ordinary shares purchased upon such exercise. As an alternative to payment in immediately available funds, the holder may elect to exercise the pre-funded warrant through a cashless exercise, in which the holder would receive upon such exercise the net number of ordinary shares determined according to the formula set forth in the pre-funded warrant. No fractional ordinary shares will be issued in connection with the exercise of a pre-funded warrant.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Under the pre-funded warrants, unless and until the Shareholder Approval (as defined below) is obtained, we may not effect the exercise of any pre-funded warrant, and a holder will not be entitled to exercise any portion of any pre-funded warrant, which, upon giving effect to such exercise, would cause (i) the aggregate number of our ordinary shares beneficially owned by the holder (together with its affiliates) to exceed, depending on the terms of the applicable pre-funded warrants and in certain cases at the election of the holder, either 4.99%, 9.99% or 19.99% of the number of our ordinary shares outstanding immediately after giving effect to the exercise, or (ii) the combined voting power of our securities beneficially owned by the holder (together with its affiliates) to exceed, depending on the terms of the applicable pre-funded warrants and in certain cases at the election of the holder, either 4.99%,</w:t>
      </w:r>
    </w:p>
    <w:p>
      <w:pPr>
        <w:spacing w:after="0" w:line="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9.99% or 19.99% of the combined voting power of all of our securities then outstanding immediately after giving effect to the exercise, as such percentage ownership is determined in accordance with the terms of the pre-funded warrants. However, any holder may increase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decrease such percentage to any other percentage not exceeding 19.99%, in the case of an increase, upon 61 days’ prior notice from the holder to us.</w:t>
      </w:r>
    </w:p>
    <w:p>
      <w:pPr>
        <w:spacing w:after="0" w:line="11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Upon the written request of the holder delivered to us, we shall use commercially reasonable efforts to obtain shareholder approval (the “Shareholder Approval”), at our next regularly scheduled annual general meeting of shareholders, for the issuance of the pre-funded warrant shares upon the exercise of all or any portion of the pre-funded warrants such that such issuance of pre-funded warrant shares will comply with the Listing Rules of the Nasdaq Stock Market, including, without limitation, Listing Rule 5635, and with applicable Singapore law. In the event that the holder requests the Shareholder Approval, we use commercially reasonable efforts to obtain Shareholder Approval at our next regularly scheduled annual general meeting, and Shareholder Approval is not obtained at such meeting for any reason, then the holder may again request Shareholder Approval each year pursuant to and subject to the terms of the pre-funded warrants, at each of our subsequent regularly scheduled annual general meetings that occur prior to the termination date of the pre-funded warrants. We shall not be obligated to seek the Shareholder Approval at any shareholder meeting other than our regularly scheduled annual shareholder meeting and such written request of the holder must be received by us at least 90 days in advance of such annual meeting.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ordinary shares purchasable upon the exercise of the pre-funded warrants is $0.0001 per ordinary share. The exercise price of the pre-funded warrants and the number of our ordinary shares issuable upon exercise of the pre-funded warrants is subject to appropriate adjustment in the event of certain share dividends and distributions, share splits, share combinations, reclassifications or similar events affecting our ordinary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pre-funded warrants on The Nasdaq Global Market, any other national securities exchange or any other nationally recognized trading system.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ordinary shares, the sale, transfer or other disposition of all or substantially all of our properties or assets, our consolidation or merger with or into another person, the acquisition of more than 50% of our outstanding ordinary shares, or any person or group becoming the beneficial owner of 50% of the voting power represented by our outstanding ordinary shares,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Rights as a Shareholder</w:t>
      </w:r>
    </w:p>
    <w:p>
      <w:pPr>
        <w:spacing w:after="0" w:line="121"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Except by virtue of such holder’s ownership of our ordinary shares, the holder of a pre-funded warrant does not have the rights or privileges of a holder of our ordinary shares, including any voting rights, until the holder exercises the pre-funded warrant. In the event of certain distributions, including cash dividends, if any, to all holders of our ordinary shares for no consideration, the holder of a pre-funded warrant shall be entitled to participate in such distributions to the same extent as if a holder of our ordinary shares, subject to not exceeding the ownership limitations described above under “—Exercise Limitations,” in which case such distribution shall be held in abeyance for the benefit of such holder until the earlier of such time as the ownership limitations would not be exceeded or the warrant is exercised.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under our Share Purchase Agreement with Pfizer</w:t>
      </w:r>
    </w:p>
    <w:p>
      <w:pPr>
        <w:spacing w:after="0" w:line="12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Under the terms of our Share Purchase Agreement dated as of May 5, 2016 with an affiliate of Pfizer Inc. (the “Pfizer Affiliate”), under which the Pfizer Affiliate purchased 1,875,000 ordinary shares (the “Pfizer Shares”), subject to certain conditions and limitations, we agreed to provide certain demand registration rights to the Pfizer Affiliate in order to register all or a portion of the Pfizer Shares purchased by the Pfizer Affiliate. We also provided the Pfizer Affiliate with certain “piggyback” registration rights for a certain period of time, subject to certain conditions and limitations, such that when we propose to register our ordinary shares for our account, the Pfizer Affiliate will have the right to include some or all of the Pfizer Shares in such registration. The Share Purchase Agreement also contains other customary terms and conditions of the parties with respect to the registration of the Pfizer Shares.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under our Share Purchase Agreement with GSK</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December 13, 2022, we entered into a Share Purchase Agreement (the “GSK Share Purchase Agreement”) with Glaxo Group Limited (“GGL”), an affiliate of GlaxoSmithKline Intellectual Property (No. 3) (“GSK”), pursuant to which we sold 10,683,761 of our ordinary shares to GGL (the “GGL Shares”). In connection with the GSK Share Purchase Agreement, GGL and we agreed upon certain rights and restrictions as set forth in the Investor Agreement, dated as of January 26, 2023 (the “GSK Investor Agreement”). For a certain period of time, subject to certain conditions and limitations, we agreed to provide certain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ind w:right="200"/>
        <w:spacing w:after="0" w:line="261" w:lineRule="auto"/>
        <w:rPr>
          <w:sz w:val="20"/>
          <w:szCs w:val="20"/>
          <w:color w:val="auto"/>
        </w:rPr>
      </w:pPr>
      <w:r>
        <w:rPr>
          <w:rFonts w:ascii="Times New Roman" w:cs="Times New Roman" w:eastAsia="Times New Roman" w:hAnsi="Times New Roman"/>
          <w:sz w:val="18"/>
          <w:szCs w:val="18"/>
          <w:color w:val="auto"/>
        </w:rPr>
        <w:t>registration rights to GGL in order to register all or a portion of the GGL Shares purchased by GGL. We also provided GGL with certain “piggyback” registration rights for a certain period of time, subject to certain conditions and limitations, such that when we propose to register our ordinary shares for our account, GGL will have the right to include some or all of the GGL Shares in such registration. The GSK Investor Agreement also contains other customary terms and conditions of the parties with respect to the registration of GGL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Ordinary Shares</w:t>
      </w:r>
    </w:p>
    <w:p>
      <w:pPr>
        <w:spacing w:after="0" w:line="121"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Subject to applicable securities laws in relevant jurisdictions and our constitution, our ordinary shares are freely transferable. Our constitution provides that shares may be transferred by a duly signed instrument of transfer in any usual or common form or in a form approved by the directors and The Nasdaq Stock Market. The directors may decline to register any transfer unless, among other things, evidence of payment of any stamp duty payable with respect to the transfer is provided together with other evidence of ownership and title as the directors may reasonably require to show the right of the transferor to make the transfer. We will replace lost or destroyed certificates for shares upon notice to us and upon, among other things, the applicant furnishing evidence and indemnity as the directors may require and the payment of all applicable fees.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and Re-election of Directors</w:t>
      </w:r>
    </w:p>
    <w:p>
      <w:pPr>
        <w:spacing w:after="0" w:line="121" w:lineRule="exact"/>
        <w:rPr>
          <w:sz w:val="20"/>
          <w:szCs w:val="20"/>
          <w:color w:val="auto"/>
        </w:rPr>
      </w:pPr>
    </w:p>
    <w:p>
      <w:pPr>
        <w:jc w:val="both"/>
        <w:ind w:right="520" w:firstLine="749"/>
        <w:spacing w:after="0" w:line="266" w:lineRule="auto"/>
        <w:rPr>
          <w:sz w:val="20"/>
          <w:szCs w:val="20"/>
          <w:color w:val="auto"/>
        </w:rPr>
      </w:pPr>
      <w:r>
        <w:rPr>
          <w:rFonts w:ascii="Times New Roman" w:cs="Times New Roman" w:eastAsia="Times New Roman" w:hAnsi="Times New Roman"/>
          <w:sz w:val="18"/>
          <w:szCs w:val="18"/>
          <w:color w:val="auto"/>
        </w:rPr>
        <w:t>We may, by ordinary resolution, remove any director before the expiration of his or her period of office, notwithstanding anything in our constitution or in any agreement between us and such director. We may also, by an ordinary resolution, appoint another person in place of a director removed from office pursuant to the foregoing.</w:t>
      </w:r>
    </w:p>
    <w:p>
      <w:pPr>
        <w:spacing w:after="0" w:line="68"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Under our constitution, subject to the Singapore Companies Act, any director shall retire at the next annual general meeting and shall then be eligible for re-election at that meeting.</w:t>
      </w:r>
    </w:p>
    <w:p>
      <w:pPr>
        <w:spacing w:after="0" w:line="54" w:lineRule="exact"/>
        <w:rPr>
          <w:sz w:val="20"/>
          <w:szCs w:val="20"/>
          <w:color w:val="auto"/>
        </w:rPr>
      </w:pPr>
    </w:p>
    <w:p>
      <w:pPr>
        <w:jc w:val="both"/>
        <w:ind w:right="480" w:firstLine="749"/>
        <w:spacing w:after="0" w:line="266" w:lineRule="auto"/>
        <w:rPr>
          <w:sz w:val="20"/>
          <w:szCs w:val="20"/>
          <w:color w:val="auto"/>
        </w:rPr>
      </w:pPr>
      <w:r>
        <w:rPr>
          <w:rFonts w:ascii="Times New Roman" w:cs="Times New Roman" w:eastAsia="Times New Roman" w:hAnsi="Times New Roman"/>
          <w:sz w:val="18"/>
          <w:szCs w:val="18"/>
          <w:color w:val="auto"/>
        </w:rPr>
        <w:t>Our board of directors shall have the power, at any time and from time to time, to appoint any person to be a director either to fill a casual vacancy or as an additional director so long as the total number of directors shall not at any time exceed the maximum number (if any) fixed by or in accordance with our constitution.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Meetings</w:t>
      </w:r>
    </w:p>
    <w:p>
      <w:pPr>
        <w:spacing w:after="0" w:line="121"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are required to hold an annual general meeting each calendar year and within six months after the end of each financial year. The directors may convene an extraordinary general meeting whenever they think fit and they must do so upon the written request of shareholders holding not less than 10% of the total number of paid-up shares as of the date of deposit of the requisition carrying the right to vote at a general meeting. In addition, two or more shareholders holding not less than 10% of our total number of issued shares (excluding our treasury shares) may call a meeting of our shareholders.</w:t>
      </w:r>
    </w:p>
    <w:p>
      <w:pPr>
        <w:spacing w:after="0" w:line="7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Singapore Companies Act provides that a shareholder is entitled to attend any general meeting and speak on any resolution put before the general meeting. Unless otherwise required by law or by our constitution, resolutions put forth at general meetings may be decided by ordinary resolution, requiring the affirmative vote of a majority of the shareholders present in person or represented by proxy at the meeting and entitled to vote on the resolution. An ordinary resolution suffices, for example, for appointments of directors. A special resolution, requiring an affirmative vote of not less than three-fourths of the shareholders present in person or represented by proxy at the meeting and entitled to vote on the resolution, is necessary for certain matters under Singapore law, such as an alteration of our constitution. A shareholder entitled to attend and vote at a meeting of the company, or at a meeting of any class of shareholders of the company, is entitled to appoint another person or persons, whether a shareholder of the company or not, as the shareholder’s proxy to attend and vote instead of the shareholder at the meeting. Under the Singapore Companies Act, a proxy appointed to attend and vote instead of the shareholder also has the same right as the shareholder to speak at the meeting, but unless the constitution of the company otherwise provides,</w:t>
      </w:r>
    </w:p>
    <w:p>
      <w:pPr>
        <w:spacing w:after="0" w:line="6" w:lineRule="exact"/>
        <w:rPr>
          <w:sz w:val="20"/>
          <w:szCs w:val="20"/>
          <w:color w:val="auto"/>
        </w:rPr>
      </w:pPr>
    </w:p>
    <w:p>
      <w:pPr>
        <w:ind w:right="100" w:firstLine="8"/>
        <w:spacing w:after="0" w:line="255" w:lineRule="auto"/>
        <w:tabs>
          <w:tab w:leader="none" w:pos="2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is not entitled to vote except on a poll, (ii) a shareholder is not entitled to appoint more than two proxies to attend and vote at the same meeting and (iii) where a shareholder appoints two proxies the appointments are invalid unless the shareholder specifies the proportions of the shareholder’s holdings to be represented by each proxy.</w:t>
      </w:r>
    </w:p>
    <w:p>
      <w:pPr>
        <w:spacing w:after="0" w:line="78" w:lineRule="exact"/>
        <w:rPr>
          <w:sz w:val="20"/>
          <w:szCs w:val="20"/>
          <w:color w:val="auto"/>
        </w:rPr>
      </w:pPr>
    </w:p>
    <w:p>
      <w:pPr>
        <w:jc w:val="both"/>
        <w:ind w:right="280" w:firstLine="749"/>
        <w:spacing w:after="0" w:line="261" w:lineRule="auto"/>
        <w:rPr>
          <w:sz w:val="20"/>
          <w:szCs w:val="20"/>
          <w:color w:val="auto"/>
        </w:rPr>
      </w:pPr>
      <w:r>
        <w:rPr>
          <w:rFonts w:ascii="Times New Roman" w:cs="Times New Roman" w:eastAsia="Times New Roman" w:hAnsi="Times New Roman"/>
          <w:sz w:val="18"/>
          <w:szCs w:val="18"/>
          <w:color w:val="auto"/>
        </w:rPr>
        <w:t>A registered shareholder having a share capital who is a relevant intermediary (as defined under the Singapore Companies Act) may appoint more than two proxies in relation to a meeting to exercise all or any of the shareholder’s rights to attend and to speak and vote at the meeting, but each proxy must be appointed to exercise the rights attached to a different share or shares held by the shareholder (which number and class of shares shall be specified), and at such meeting, the proxy has the right to vote on a show of hands.</w:t>
      </w:r>
    </w:p>
    <w:p>
      <w:pPr>
        <w:spacing w:after="0" w:line="7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Only registered shareholders of our company, and their proxies, will be entitled to attend, speak and vote at any meeting of shareholders. Under the Singapore Companies Act, public companies may issue non-voting shares and shares that confer special, limited or conditional voting rights, such that the holder of a share may vote on a resolution before a general meeting of the company if, in accordance with the provisions of Section 64A of the Singapore Companies Act, the share confers on the holder a right to vote on that resolution.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As provided under our constitution and the Singapore Companies Act, voting at any meeting of shareholders is by show of hands unless a poll has been demanded prior to the declaration of the result of the show of hands by, among others, (i) the chairman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30" w:name="page131"/>
    <w:bookmarkEnd w:id="130"/>
    <w:p>
      <w:pPr>
        <w:ind w:firstLine="8"/>
        <w:spacing w:after="0" w:line="258"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shareholder present in person or by proxy or by attorney or, in the case of a corporation, by a representative entitled to vote thereat, in each case representing in the aggregate not less than 5% of the total voting rights of all shareholders having the right to vote at the general meeting, provided that no poll shall be demanded in respect of an election of a chairman or relating to any adjournment of such meeting. On a poll every shareholder who is present in person or by proxy or by attorney, or in the case of a corporation, by a representative, has one vote for every share held by such shareholder. Proxies need not be shareholders.</w:t>
      </w:r>
    </w:p>
    <w:p>
      <w:pPr>
        <w:spacing w:after="0" w:line="7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Only those shareholders who are registered in our register of members as holders of ordinary shares will be entitled to vote at any meeting of shareholders. Therefore, DTC, or its nominee, will grant an omnibus proxy to DTC participants holding our shares in book-entry form through a broker, bank, nominee, or other institution that is a direct or indirect participant in the DTC. Such shareholders will have the right to instruct their broker, bank, nominee or other institution holding these shares on how to vote such shares by completing the voting instruction form provided by the applicable broker, bank, nominee, or other institution. Whether voting is by a show of hands or by a poll, DTC’s vote will be voted by the chairman of the meeting according to the results of the DTC’s participants’ votes (which results will reflect the instructions received from shareholders that own our shares electronically in book-entry form).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Minority Rights</w:t>
      </w:r>
    </w:p>
    <w:p>
      <w:pPr>
        <w:spacing w:after="0" w:line="121"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rights of minority shareholders of Singapore companies are protected, among other things, under Section 216 of the Singapore Companies Act, which gives the Singapore courts a general power to make any order, upon application by any shareholder of a company, as they think fit to remedy any of the following situations:</w:t>
      </w:r>
    </w:p>
    <w:p>
      <w:pPr>
        <w:spacing w:after="0" w:line="68" w:lineRule="exact"/>
        <w:rPr>
          <w:sz w:val="20"/>
          <w:szCs w:val="20"/>
          <w:color w:val="auto"/>
        </w:rPr>
      </w:pPr>
    </w:p>
    <w:p>
      <w:pPr>
        <w:ind w:left="1500" w:right="120" w:hanging="369"/>
        <w:spacing w:after="0" w:line="282" w:lineRule="auto"/>
        <w:tabs>
          <w:tab w:leader="none" w:pos="15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affairs of a company are being conducted or the powers of the board of directors are being exercised in a manner oppressive to, or in disregard of the interests of, one or more of the shareholders, including the applicant; or</w:t>
      </w:r>
    </w:p>
    <w:p>
      <w:pPr>
        <w:spacing w:after="0" w:line="53" w:lineRule="exact"/>
        <w:rPr>
          <w:rFonts w:ascii="Times New Roman" w:cs="Times New Roman" w:eastAsia="Times New Roman" w:hAnsi="Times New Roman"/>
          <w:sz w:val="14"/>
          <w:szCs w:val="14"/>
          <w:color w:val="auto"/>
        </w:rPr>
      </w:pPr>
    </w:p>
    <w:p>
      <w:pPr>
        <w:ind w:left="1500" w:right="160" w:hanging="369"/>
        <w:spacing w:after="0" w:line="282" w:lineRule="auto"/>
        <w:tabs>
          <w:tab w:leader="none" w:pos="15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 company takes an action, or threatens to take an action, or the shareholders pass a resolution, or propose to pass a resolution, which unfairly discriminates against, or is otherwise prejudicial to, one or more of the shareholders, including the applicant.</w:t>
      </w:r>
    </w:p>
    <w:p>
      <w:pPr>
        <w:spacing w:after="0" w:line="54"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Singapore courts have wide discretion as to the remedy they may grant, and the remedies listed in the Singapore Companies Act itself are not exclusive. In general, Singapore courts may, with a view to bringing to an end or remedying the matters complained of:</w:t>
      </w:r>
    </w:p>
    <w:p>
      <w:pPr>
        <w:spacing w:after="0" w:line="54" w:lineRule="exact"/>
        <w:rPr>
          <w:sz w:val="20"/>
          <w:szCs w:val="20"/>
          <w:color w:val="auto"/>
        </w:rPr>
      </w:pPr>
    </w:p>
    <w:p>
      <w:pPr>
        <w:ind w:left="1500" w:hanging="369"/>
        <w:spacing w:after="0"/>
        <w:tabs>
          <w:tab w:leader="none" w:pos="1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direct or prohibit any act or cancel or modify any transaction or resolution;</w:t>
      </w:r>
    </w:p>
    <w:p>
      <w:pPr>
        <w:spacing w:after="0" w:line="117" w:lineRule="exact"/>
        <w:rPr>
          <w:rFonts w:ascii="Times New Roman" w:cs="Times New Roman" w:eastAsia="Times New Roman" w:hAnsi="Times New Roman"/>
          <w:sz w:val="14"/>
          <w:szCs w:val="14"/>
          <w:color w:val="auto"/>
        </w:rPr>
      </w:pPr>
    </w:p>
    <w:p>
      <w:pPr>
        <w:ind w:left="1500" w:hanging="369"/>
        <w:spacing w:after="0"/>
        <w:tabs>
          <w:tab w:leader="none" w:pos="1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regulate the conduct of the affairs of the company in the future;</w:t>
      </w:r>
    </w:p>
    <w:p>
      <w:pPr>
        <w:spacing w:after="0" w:line="117" w:lineRule="exact"/>
        <w:rPr>
          <w:rFonts w:ascii="Times New Roman" w:cs="Times New Roman" w:eastAsia="Times New Roman" w:hAnsi="Times New Roman"/>
          <w:sz w:val="14"/>
          <w:szCs w:val="14"/>
          <w:color w:val="auto"/>
        </w:rPr>
      </w:pPr>
    </w:p>
    <w:p>
      <w:pPr>
        <w:ind w:left="1500" w:right="60" w:hanging="369"/>
        <w:spacing w:after="0" w:line="282" w:lineRule="auto"/>
        <w:tabs>
          <w:tab w:leader="none" w:pos="1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authorize civil proceedings to be brought in the name of, or on behalf of, the company by a person or persons and on such terms as the court may direct;</w:t>
      </w:r>
    </w:p>
    <w:p>
      <w:pPr>
        <w:spacing w:after="0" w:line="53" w:lineRule="exact"/>
        <w:rPr>
          <w:rFonts w:ascii="Times New Roman" w:cs="Times New Roman" w:eastAsia="Times New Roman" w:hAnsi="Times New Roman"/>
          <w:sz w:val="14"/>
          <w:szCs w:val="14"/>
          <w:color w:val="auto"/>
        </w:rPr>
      </w:pPr>
    </w:p>
    <w:p>
      <w:pPr>
        <w:ind w:left="1500" w:hanging="369"/>
        <w:spacing w:after="0"/>
        <w:tabs>
          <w:tab w:leader="none" w:pos="1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provide for the purchase of a minority shareholder’s shares by the other shareholders or by the company itself;</w:t>
      </w:r>
    </w:p>
    <w:p>
      <w:pPr>
        <w:spacing w:after="0" w:line="117" w:lineRule="exact"/>
        <w:rPr>
          <w:rFonts w:ascii="Times New Roman" w:cs="Times New Roman" w:eastAsia="Times New Roman" w:hAnsi="Times New Roman"/>
          <w:sz w:val="14"/>
          <w:szCs w:val="14"/>
          <w:color w:val="auto"/>
        </w:rPr>
      </w:pPr>
    </w:p>
    <w:p>
      <w:pPr>
        <w:ind w:left="1500" w:hanging="369"/>
        <w:spacing w:after="0"/>
        <w:tabs>
          <w:tab w:leader="none" w:pos="1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 the case of a purchase of shares by the company provide for a reduction accordingly of the company’s capital; or</w:t>
      </w:r>
    </w:p>
    <w:p>
      <w:pPr>
        <w:spacing w:after="0" w:line="117" w:lineRule="exact"/>
        <w:rPr>
          <w:rFonts w:ascii="Times New Roman" w:cs="Times New Roman" w:eastAsia="Times New Roman" w:hAnsi="Times New Roman"/>
          <w:sz w:val="14"/>
          <w:szCs w:val="14"/>
          <w:color w:val="auto"/>
        </w:rPr>
      </w:pPr>
    </w:p>
    <w:p>
      <w:pPr>
        <w:ind w:left="1500" w:hanging="369"/>
        <w:spacing w:after="0"/>
        <w:tabs>
          <w:tab w:leader="none" w:pos="1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provide that the company be wound up.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Subject to any preferential rights of holders of any outstanding preferred shares, holders of our ordinary shares will be entitled to receive dividends and other distributions in cash, shares or property as may be declared by our company from time to time. We may, by ordinary resolution, declare dividends at a general meeting of shareholders, but we are restricted from paying dividends in excess of the amount recommended by our board of directors. Pursuant to Singapore law and our constitution, no dividend may be paid except out of our profits. To date, we have not declared any cash dividends on our ordinary shares and have no current plans to pay cash dividends in the foreseeable future.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and Rights Issues</w:t>
      </w:r>
    </w:p>
    <w:p>
      <w:pPr>
        <w:spacing w:after="0" w:line="121"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In a general meeting, our shareholders may, upon the recommendation of the directors, capitalize any reserves or profits and distribute them as bonus shares, credited as paid-up, to the shareholders in proportion to their shareholdings.</w:t>
      </w:r>
    </w:p>
    <w:p>
      <w:pPr>
        <w:spacing w:after="0" w:line="54"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Singapore Companies Act and our constitution, our directors may also issue rights to take up additional ordinary shares to our shareholders in proportion to their respective ownership. Such rights are subject to any condition attached to such issue and the regulations of any stock exchange on which our shares are listed, as well as U.S. federal and blue sky securities laws applicable to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Takeovers</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Singapore Code on Take-overs and Mergers applies to, among other things, the acquisition of voting shares of Singapore-incorporated listed public companies or unlisted public companies with more than 50 shareholders and net tangible assets of S$5 million or more. Any person acquiring, whether by a series of transactions over a period of time or not, either on its own or together with parties acting in concert with it, 30% or more of our voting shares, or, if such person holds, either on its own or together with parties acting in concert with it, between 30% and 50% (both inclusive) of our voting shares, and if such person (or parties acting in concert with it) acquires additional voting shares representing more than 1% of our voting shares in any six-month period, must, except with the consent of the Securities Industry Council in Singapore, extend a mandatory takeover offer for the remaining voting shares in accordance with the provisions of the Singapore Code on Take-overs and Mergers. Responsibility for ensuring compliance with the Singapore Code on Take-overs and Mergers rests with parties (including company directors) to a take-over or merger and their advisors.</w:t>
      </w:r>
    </w:p>
    <w:p>
      <w:pPr>
        <w:spacing w:after="0" w:line="84"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spacing w:after="0" w:line="68" w:lineRule="exact"/>
        <w:rPr>
          <w:sz w:val="20"/>
          <w:szCs w:val="20"/>
          <w:color w:val="auto"/>
        </w:rPr>
      </w:pPr>
    </w:p>
    <w:p>
      <w:pPr>
        <w:ind w:left="1500" w:right="20" w:hanging="369"/>
        <w:spacing w:after="0" w:line="261" w:lineRule="auto"/>
        <w:tabs>
          <w:tab w:leader="none" w:pos="1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 company, its parent company, subsidiaries and fellow subsidiaries, the associated companies of any of the company and its parent company, subsidiaries and fellow subsidiaries, companies whose associated companies include any of these companies and any person who has provided financial assistance (other than a bank in the ordinary course of business) to any of the foregoing for the purchase of voting rights;</w:t>
      </w:r>
    </w:p>
    <w:p>
      <w:pPr>
        <w:spacing w:after="0" w:line="71" w:lineRule="exact"/>
        <w:rPr>
          <w:rFonts w:ascii="Times New Roman" w:cs="Times New Roman" w:eastAsia="Times New Roman" w:hAnsi="Times New Roman"/>
          <w:sz w:val="14"/>
          <w:szCs w:val="14"/>
          <w:color w:val="auto"/>
        </w:rPr>
      </w:pPr>
    </w:p>
    <w:p>
      <w:pPr>
        <w:ind w:left="1500" w:right="60" w:hanging="369"/>
        <w:spacing w:after="0" w:line="282" w:lineRule="auto"/>
        <w:tabs>
          <w:tab w:leader="none" w:pos="1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 company with any of its directors (together with their close relatives, related trusts and companies controlled by any of the directors, their close relatives and related trusts);</w:t>
      </w:r>
    </w:p>
    <w:p>
      <w:pPr>
        <w:spacing w:after="0" w:line="53" w:lineRule="exact"/>
        <w:rPr>
          <w:rFonts w:ascii="Times New Roman" w:cs="Times New Roman" w:eastAsia="Times New Roman" w:hAnsi="Times New Roman"/>
          <w:sz w:val="14"/>
          <w:szCs w:val="14"/>
          <w:color w:val="auto"/>
        </w:rPr>
      </w:pPr>
    </w:p>
    <w:p>
      <w:pPr>
        <w:ind w:left="1500" w:hanging="369"/>
        <w:spacing w:after="0"/>
        <w:tabs>
          <w:tab w:leader="none" w:pos="1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 company with any of its pension funds and employee share schemes;</w:t>
      </w:r>
    </w:p>
    <w:p>
      <w:pPr>
        <w:spacing w:after="0" w:line="117" w:lineRule="exact"/>
        <w:rPr>
          <w:rFonts w:ascii="Times New Roman" w:cs="Times New Roman" w:eastAsia="Times New Roman" w:hAnsi="Times New Roman"/>
          <w:sz w:val="14"/>
          <w:szCs w:val="14"/>
          <w:color w:val="auto"/>
        </w:rPr>
      </w:pPr>
    </w:p>
    <w:p>
      <w:pPr>
        <w:ind w:left="1500" w:right="220" w:hanging="369"/>
        <w:spacing w:after="0" w:line="282" w:lineRule="auto"/>
        <w:tabs>
          <w:tab w:leader="none" w:pos="1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 person with any investment company, unit trust or other fund whose investment such person manages on a discretionary basis, but only in respect of the investment account which such person manages;</w:t>
      </w:r>
    </w:p>
    <w:p>
      <w:pPr>
        <w:spacing w:after="0" w:line="53" w:lineRule="exact"/>
        <w:rPr>
          <w:rFonts w:ascii="Times New Roman" w:cs="Times New Roman" w:eastAsia="Times New Roman" w:hAnsi="Times New Roman"/>
          <w:sz w:val="14"/>
          <w:szCs w:val="14"/>
          <w:color w:val="auto"/>
        </w:rPr>
      </w:pPr>
    </w:p>
    <w:p>
      <w:pPr>
        <w:ind w:left="1500" w:right="420" w:hanging="369"/>
        <w:spacing w:after="0" w:line="282" w:lineRule="auto"/>
        <w:tabs>
          <w:tab w:leader="none" w:pos="1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 financial or other professional advisor, including a stockbroker, with its client in respect of the shareholdings of the advisor and persons controlling, controlled by or under the same control as the advisor;</w:t>
      </w:r>
    </w:p>
    <w:p>
      <w:pPr>
        <w:spacing w:after="0" w:line="53" w:lineRule="exact"/>
        <w:rPr>
          <w:rFonts w:ascii="Times New Roman" w:cs="Times New Roman" w:eastAsia="Times New Roman" w:hAnsi="Times New Roman"/>
          <w:sz w:val="14"/>
          <w:szCs w:val="14"/>
          <w:color w:val="auto"/>
        </w:rPr>
      </w:pPr>
    </w:p>
    <w:p>
      <w:pPr>
        <w:ind w:left="1500" w:right="40" w:hanging="369"/>
        <w:spacing w:after="0" w:line="266" w:lineRule="auto"/>
        <w:tabs>
          <w:tab w:leader="none" w:pos="1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directors of a company (together with their close relatives, related trusts and companies controlled by any of such directors, their close relatives and related trusts) which is subject to an offer or where the directors have reason to believe a bona fide offer for their company may be imminent;</w:t>
      </w:r>
    </w:p>
    <w:p>
      <w:pPr>
        <w:spacing w:after="0" w:line="67" w:lineRule="exact"/>
        <w:rPr>
          <w:rFonts w:ascii="Times New Roman" w:cs="Times New Roman" w:eastAsia="Times New Roman" w:hAnsi="Times New Roman"/>
          <w:sz w:val="14"/>
          <w:szCs w:val="14"/>
          <w:color w:val="auto"/>
        </w:rPr>
      </w:pPr>
    </w:p>
    <w:p>
      <w:pPr>
        <w:ind w:left="1500" w:hanging="369"/>
        <w:spacing w:after="0"/>
        <w:tabs>
          <w:tab w:leader="none" w:pos="1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partners; and</w:t>
      </w:r>
    </w:p>
    <w:p>
      <w:pPr>
        <w:spacing w:after="0" w:line="117" w:lineRule="exact"/>
        <w:rPr>
          <w:rFonts w:ascii="Times New Roman" w:cs="Times New Roman" w:eastAsia="Times New Roman" w:hAnsi="Times New Roman"/>
          <w:sz w:val="14"/>
          <w:szCs w:val="14"/>
          <w:color w:val="auto"/>
        </w:rPr>
      </w:pPr>
    </w:p>
    <w:p>
      <w:pPr>
        <w:ind w:left="1500" w:right="80" w:hanging="369"/>
        <w:spacing w:after="0" w:line="261" w:lineRule="auto"/>
        <w:tabs>
          <w:tab w:leader="none" w:pos="1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 individual and (i) such person’s close relatives, (ii) such person’s related trusts, (iii) any person who is accustomed to act in accordance with such person’s instructions, (iv) companies controlled by the individual, such person’s close relatives, related trusts or any person who is accustomed to act in accordance with such person’s instructions and (v) any person who has provided financial assistance (other than a bank in the ordinary course of business) to any of the foregoing for the purchase of voting rights.</w:t>
      </w:r>
    </w:p>
    <w:p>
      <w:pPr>
        <w:spacing w:after="0" w:line="7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exceptions, a mandatory offer must be in cash or be accompanied by a cash alternative at not less than the highest price paid by the offeror or parties acting in concert with the offeror during the offer period and within the six months prior to its commencement.</w:t>
      </w:r>
    </w:p>
    <w:p>
      <w:pPr>
        <w:spacing w:after="0" w:line="54"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Under the Singapore Code on Take-overs and Mergers,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consider and decide on the offer. These legal requirements may impede or delay a takeover of our company by a third party.</w:t>
      </w:r>
    </w:p>
    <w:p>
      <w:pPr>
        <w:spacing w:after="0" w:line="7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May 5, 2025, the Securities Industry Council ("SIC") published a consultation paper seeking feedback on proposed amendments to the Singapore Code on Take-overs and Mergers (the consultation exercise, the "Consultation"). The Consultation had closed on June 5, 2025. As at the date of this document, the SIC has not published the conclusions of the Consultation, nor provided any indication as to when the conclusions of the Consultation would be available. Accordingly, please note that there may be further amendments to the provisions of the Singapore Code on Take-overs and Mergers after the date of this document. Investors and/or shareholders should consult their own legal advisers and obtain specific legal advice in respect of their rights under the Singapore Code on Take-overs and Mergers.</w:t>
      </w:r>
    </w:p>
    <w:p>
      <w:pPr>
        <w:spacing w:after="0" w:line="7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may submit an application to the Securities Industry Council of Singapore for a waiver from the Singapore Code on Take-overs and Mergers so that the Singapore Code on Take-overs and Mergers will not apply to our company for so long as we are not listed on a securities exchange in Singapore. We will make an appropriate announcement if we submit the application and when the result of the application is 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Liquidation or Other Return of Capital</w:t>
      </w:r>
    </w:p>
    <w:p>
      <w:pPr>
        <w:spacing w:after="0" w:line="121"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On a winding-up or other return of capital, subject to any special rights attaching to the Series A preferred shares or to any other class of shares, holders of ordinary shares will be entitled to participate in any surplus assets in proportion to their shareholdings.</w:t>
      </w:r>
    </w:p>
    <w:p>
      <w:pPr>
        <w:spacing w:after="0" w:line="50"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COMPARISON OF SHAREHOLDER RIGHTS</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Singapore.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Singapore and Delaware.</w:t>
      </w:r>
    </w:p>
    <w:p>
      <w:pPr>
        <w:spacing w:after="0" w:line="68"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This discussion does not purport to be a complete statement of the rights of holders of our ordinary shares under applicable law in Singapore and our constitution or the rights of holders of the common stock of a typical corporation under applicable Delaware law and a typical certificate of incorporation and bylaws.</w:t>
      </w:r>
    </w:p>
    <w:p>
      <w:pPr>
        <w:sectPr>
          <w:pgSz w:w="11900" w:h="16838" w:orient="portrait"/>
          <w:cols w:equalWidth="0" w:num="1">
            <w:col w:w="11200"/>
          </w:cols>
          <w:pgMar w:left="320" w:top="765" w:right="379" w:bottom="1440" w:gutter="0" w:footer="0" w:header="0"/>
        </w:sectPr>
      </w:pPr>
    </w:p>
    <w:p>
      <w:pPr>
        <w:spacing w:after="0" w:line="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Delaware</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100"/>
        <w:spacing w:after="0" w:line="256" w:lineRule="auto"/>
        <w:rPr>
          <w:sz w:val="20"/>
          <w:szCs w:val="20"/>
          <w:color w:val="auto"/>
        </w:rPr>
      </w:pPr>
      <w:r>
        <w:rPr>
          <w:rFonts w:ascii="Times New Roman" w:cs="Times New Roman" w:eastAsia="Times New Roman" w:hAnsi="Times New Roman"/>
          <w:sz w:val="18"/>
          <w:szCs w:val="18"/>
          <w:color w:val="auto"/>
        </w:rPr>
        <w:t>A typical certificate of incorporation and bylaws provides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00" w:lineRule="exact"/>
        <w:rPr>
          <w:sz w:val="20"/>
          <w:szCs w:val="20"/>
          <w:color w:val="auto"/>
        </w:rPr>
      </w:pPr>
    </w:p>
    <w:p>
      <w:pPr>
        <w:spacing w:after="0" w:line="24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constitution of companies will typically state the minimum and maximum number of directors as well as provide that the number of directors may be increased or reduced by shareholders via ordinary resolution passed at a general meeting, provided that the number of directors following such increase or reduction is within the maximum (if any) and minimum number of directors provided in our constitution and the Singapore Companies Act,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530225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60" w:space="500"/>
            <w:col w:w="5640"/>
          </w:cols>
          <w:pgMar w:left="320" w:top="765" w:right="37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Personal Liability of Directors and Officers</w:t>
      </w:r>
    </w:p>
    <w:p>
      <w:pPr>
        <w:spacing w:after="0" w:line="12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A typical certificate of incorporation provides for the elimination of personal monetary liability of directors or officers for breach of fiduciary duties as directors or officers to the fullest extent permissible under the laws of Delaware, except for liability (i) for any breach of a director’s or officer’s duty of loyalty to the corporation or its stockholders, (ii) for acts or omissions not in good faith or which involve intentional misconduct or a knowing violation of law, (iii) of directors under Section 174 of the Delaware General Corporation Law (relating to the liability of directors for unlawful payment of a dividend or an unlawful stock purchase or redemption),</w:t>
      </w:r>
    </w:p>
    <w:p>
      <w:pPr>
        <w:spacing w:after="0" w:line="4" w:lineRule="exact"/>
        <w:rPr>
          <w:sz w:val="20"/>
          <w:szCs w:val="20"/>
          <w:color w:val="auto"/>
        </w:rPr>
      </w:pPr>
    </w:p>
    <w:p>
      <w:pPr>
        <w:ind w:right="20" w:firstLine="5"/>
        <w:spacing w:after="0" w:line="251" w:lineRule="auto"/>
        <w:tabs>
          <w:tab w:leader="none" w:pos="30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 improper personal benefit, or (v) of officers in any action by or in the right of the corporation. A typical certificate of incorporation also provides that if the Delaware General Corporation Law is amended so as to allow further elimination of, or limitations on, director or officer liability, then the liability of directors or officers will be eliminated or limited to the fullest extent permitted by the Delaware General Corporation Law as so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Shareholders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203 of the Delaware General Corporation Law generally prohibits a Delaware corporation from engaging in specified corporate transactions (such as mergers, stock and asset sales, and loans) with an “interested stockholder” for three years following the time that the stockholder becomes an interested stockholder. Subject to specified exceptions, an “interested stockholder” is a person or group that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the voting stock at any time within the previous three years.</w:t>
      </w:r>
    </w:p>
    <w:p>
      <w:pPr>
        <w:spacing w:after="0" w:line="20" w:lineRule="exact"/>
        <w:rPr>
          <w:sz w:val="20"/>
          <w:szCs w:val="20"/>
          <w:color w:val="auto"/>
        </w:rPr>
      </w:pPr>
      <w:r>
        <w:rPr>
          <w:sz w:val="20"/>
          <w:szCs w:val="20"/>
          <w:color w:val="auto"/>
        </w:rPr>
        <w:br w:type="column"/>
      </w:r>
    </w:p>
    <w:p>
      <w:pPr>
        <w:ind w:left="1"/>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00" w:lineRule="exact"/>
        <w:rPr>
          <w:sz w:val="20"/>
          <w:szCs w:val="20"/>
          <w:color w:val="auto"/>
        </w:rPr>
      </w:pPr>
    </w:p>
    <w:p>
      <w:pPr>
        <w:spacing w:after="0" w:line="245" w:lineRule="exact"/>
        <w:rPr>
          <w:sz w:val="20"/>
          <w:szCs w:val="20"/>
          <w:color w:val="auto"/>
        </w:rPr>
      </w:pPr>
    </w:p>
    <w:p>
      <w:pPr>
        <w:ind w:left="1" w:right="60"/>
        <w:spacing w:after="0" w:line="253" w:lineRule="auto"/>
        <w:rPr>
          <w:sz w:val="20"/>
          <w:szCs w:val="20"/>
          <w:color w:val="auto"/>
        </w:rPr>
      </w:pPr>
      <w:r>
        <w:rPr>
          <w:rFonts w:ascii="Times New Roman" w:cs="Times New Roman" w:eastAsia="Times New Roman" w:hAnsi="Times New Roman"/>
          <w:sz w:val="18"/>
          <w:szCs w:val="18"/>
          <w:color w:val="auto"/>
        </w:rPr>
        <w:t>Pursuant to the Singapore Companies Act, any provision (whether in the constitution, a contract with the company or otherwise) exempting or indemnifying a director against any liability which by law would otherwise attach to him or her in respect of any negligence, default, breach of duty or breach of trust of which such director may be guilty in relation to the company is void. However, a company is not prohibited from (a) purchasing and maintaining for any such director insurance against any such liability, or</w:t>
      </w:r>
    </w:p>
    <w:p>
      <w:pPr>
        <w:spacing w:after="0" w:line="3" w:lineRule="exact"/>
        <w:rPr>
          <w:sz w:val="20"/>
          <w:szCs w:val="20"/>
          <w:color w:val="auto"/>
        </w:rPr>
      </w:pPr>
    </w:p>
    <w:p>
      <w:pPr>
        <w:ind w:left="1" w:hanging="1"/>
        <w:spacing w:after="0" w:line="251" w:lineRule="auto"/>
        <w:tabs>
          <w:tab w:leader="none" w:pos="25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indemnifying such director against any liability incurred by him or her to a person other than the company except when the indemnity is against any liability (i) of the director to pay a fine in criminal proceedings, (ii) of the director to pay a penalty in respect of non-compliance with any regulatory requirements,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 Nevertheless, a director can be released by the shareholders of a company for breaches of duty to a company except in the case of fraud, illegality, insolvency of the company and oppression or disregard of minority interests.</w:t>
      </w:r>
    </w:p>
    <w:p>
      <w:pPr>
        <w:spacing w:after="0" w:line="83" w:lineRule="exact"/>
        <w:rPr>
          <w:sz w:val="20"/>
          <w:szCs w:val="20"/>
          <w:color w:val="auto"/>
        </w:rPr>
      </w:pPr>
    </w:p>
    <w:p>
      <w:pPr>
        <w:ind w:left="1" w:right="100"/>
        <w:spacing w:after="0" w:line="252" w:lineRule="auto"/>
        <w:rPr>
          <w:sz w:val="20"/>
          <w:szCs w:val="20"/>
          <w:color w:val="auto"/>
        </w:rPr>
      </w:pPr>
      <w:r>
        <w:rPr>
          <w:rFonts w:ascii="Times New Roman" w:cs="Times New Roman" w:eastAsia="Times New Roman" w:hAnsi="Times New Roman"/>
          <w:sz w:val="18"/>
          <w:szCs w:val="18"/>
          <w:color w:val="auto"/>
        </w:rPr>
        <w:t>Subject to the Singapore Companies Act and every other Singapore statute for the time being in force and affecting the Company, we may indemnify our directors against costs, charges, fees, and other expenses that may be incurred by any of them in defending any proceedings (whether civil or criminal) relating to anything done or omitted or alleged to be done or omitted by such person acting in his or her capacity as a director of our company, in which judgment is given in his or her favor, or in which he or she is acquitted or in which the courts have granted relief pursuant to the provisions of the Singapore Companies Act, provided that such indemnity shall not extend to any liability which by law would otherwise attach to him or her in respect of any negligence, default, breach of duty or breach of trust of which he may be guilty in relation to our company, or which would otherwise result in such indemnity being voided under applicable Singapore laws.</w:t>
      </w:r>
    </w:p>
    <w:p>
      <w:pPr>
        <w:spacing w:after="0" w:line="200" w:lineRule="exact"/>
        <w:rPr>
          <w:sz w:val="20"/>
          <w:szCs w:val="20"/>
          <w:color w:val="auto"/>
        </w:rPr>
      </w:pPr>
    </w:p>
    <w:p>
      <w:pPr>
        <w:spacing w:after="0" w:line="213" w:lineRule="exact"/>
        <w:rPr>
          <w:sz w:val="20"/>
          <w:szCs w:val="20"/>
          <w:color w:val="auto"/>
        </w:rPr>
      </w:pPr>
    </w:p>
    <w:p>
      <w:pPr>
        <w:ind w:left="1" w:right="340"/>
        <w:spacing w:after="0" w:line="266" w:lineRule="auto"/>
        <w:rPr>
          <w:sz w:val="20"/>
          <w:szCs w:val="20"/>
          <w:color w:val="auto"/>
        </w:rPr>
      </w:pPr>
      <w:r>
        <w:rPr>
          <w:rFonts w:ascii="Times New Roman" w:cs="Times New Roman" w:eastAsia="Times New Roman" w:hAnsi="Times New Roman"/>
          <w:sz w:val="18"/>
          <w:szCs w:val="18"/>
          <w:color w:val="auto"/>
        </w:rPr>
        <w:t>There are no comparable provisions under the Singapore Companies Act with respect to public companies which are not listed on the Singapore Exchange Securities Trading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1893570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20" w:space="439"/>
            <w:col w:w="5581"/>
          </w:cols>
          <w:pgMar w:left="420" w:top="76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auto"/>
        </w:rPr>
        <w:t>Delaware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Delaware corporation may elect to “opt out” of, and not be governed by, Section 203 through a provision in either its original certificate of incorporation, or an amendment to its original certificate or bylaws that was approved by majority stockholder vote. With a limited exception, this amendment would not become effective until 12 months following its adoption.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holders of any preferred stock,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Filling Vacancies on the Board of Directors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the holders of any preferred stock, any vacancy, whether 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Singapore Companies Act, directors of a public company may be removed before expiration of their term of office, despite anything in its constitution or in any agreement between the public company and such directors, by ordinary resolution (i.e., a resolution which is passed by a simple majority of those shareholders present and voting in person or by proxy). Notice of the intention to move such a resolution has to be given to the company not less than 28 days before the meeting at which it is moved. The company must then give notice of such resolution to its shareholders not less than 14 days before the meeting. Where any director removed in this manner was appointed to represent the interests of any particular class of shareholders or debenture holders, the resolution to remove the director does not take effect until the director’s successor has been appointed.</w:t>
      </w:r>
    </w:p>
    <w:p>
      <w:pPr>
        <w:spacing w:after="0" w:line="200" w:lineRule="exact"/>
        <w:rPr>
          <w:sz w:val="20"/>
          <w:szCs w:val="20"/>
          <w:color w:val="auto"/>
        </w:rPr>
      </w:pPr>
    </w:p>
    <w:p>
      <w:pPr>
        <w:spacing w:after="0" w:line="2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constitution of a Singapore company typically provides that the directors have the power to appoint any person to be a director, either to fill a vacancy or as an addition to the existing directors, but so that the total number of directors shall not at any time exceed the maximum number (if any) fixed by or in accordance with the constitution. Any director so appointed shall hold office until the next following annual general meeting, where such director will then be eligible for re-election. Our constitution provides that the directors may appoint any person to be a director either to fill a casual vacancy or as an additional director but so that the total number of directors shall not at any time exceed the maximum number fixed by or in accordance with the constitution.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532130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20" w:space="440"/>
            <w:col w:w="5560"/>
          </w:cols>
          <w:pgMar w:left="420" w:top="76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amendments to a corporation’s certificate of incorporation require, in general, the approval of stockholders holding a majority of the outstanding shares entitled to vote on the amendment. In certain cases, amendments to a corporation’s certificate of incorporation to effect a reverse stock split or an increase or decrease in the number of authorized shares require approval of stockholders in which the votes for the amendment exceed the votes against the amendment. 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the board of directors may amend bylaws if so authorized in the certificate of incorporation. The stockholders of a Delaware corporation also have the power to amend bylaws.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and Special Meetings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Typical bylaws provide that annual meetings of stockholders are to be held on a date and at a time fixed by the board of directors. Under the Delaware General Corporation Law, a special meeting of stockholders may be called by the board of directors or by any other person authorized to do so in the certificate of incorporation or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 Requirements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00" w:lineRule="exact"/>
        <w:rPr>
          <w:sz w:val="20"/>
          <w:szCs w:val="20"/>
          <w:color w:val="auto"/>
        </w:rPr>
      </w:pPr>
    </w:p>
    <w:p>
      <w:pPr>
        <w:spacing w:after="0" w:line="24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constitution may be altered by special resolution (i.e., a resolution passed by at least a three-fourths majority of the shareholders entitled to vote, present in person or by proxy at a meeting for which not less than 21 days’ written notice is given). The board of directors has no right to amend the constitution.</w:t>
      </w:r>
    </w:p>
    <w:p>
      <w:pPr>
        <w:spacing w:after="0" w:line="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Under the Singapore Companies Act, an entrenching provision may be included in the constitution with which a company is formed and may at any time be inserted into the constitution of a company only if all the shareholders of the company agree. An entrenching provision is a provision of the constitution of a company to the effect that other specified provisions of the constitution may not be altered in the manner provided by the Singapore Companies Act or may not be so altered except (i) by a resolution passed by a specified majority greater than 75% (the minimum majority required by the Singapore Companies Act for a special resolution) or (ii) where other specified conditions are met. The Singapore Companies Act provides that such entrenching provision may be removed or altered only if all the members of the company agree.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General Meetings</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All companies are required to hold an annual general meeting after the end of each financial year within either 4 months (in the case of a public company that is listed on an exchange in Singapore approved by the Monetary Authority of Singapore) or 6 months (in the case of any other company).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Extraordinary General Meetings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general meeting other than the annual general meeting is called an “extraordinary general meeting.” Despite anything in the constitution, directors of a company must convene an extraordinary general meeting if required to do so by requisition (i.e. written notice, requiring that a meeting be called, given to the directors) by shareholder(s) holding not less than 10% of the total number of paid-up shares as at the date of the deposit of the requisition carrying the right of voting at general meetings of the company. In addition, the constitution usually also provides that general meetings may be convened in accordance with the Singapore Companies Act by the directors.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 Requirements</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constitution provides that any two shareholders present in person or by proxy or by attorney or, in the case of a corporation, by a representative and entitled to vote thereat; in each case representing in aggregate not less than a majority of the total voting rights of all shareholders having the right to vote at a general meeting, shall constitute a quorum. In the event a quorum is not present, the meeting if not convened on the requisition of shareholders may be adjourned for one week. When reconvened, the quorum for the meeting will be the same and if at such adjourned meeting a quorum is not present, the meeting will be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530225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00" w:space="460"/>
            <w:col w:w="5580"/>
          </w:cols>
          <w:pgMar w:left="420" w:top="765" w:right="439" w:bottom="1440" w:gutter="0" w:footer="0" w:header="0"/>
        </w:sectPr>
      </w:pPr>
    </w:p>
    <w:bookmarkStart w:id="136" w:name="page137"/>
    <w:bookmarkEnd w:id="136"/>
    <w:p>
      <w:pPr>
        <w:spacing w:after="0"/>
        <w:tabs>
          <w:tab w:leader="none" w:pos="5440" w:val="left"/>
        </w:tabs>
        <w:rPr>
          <w:sz w:val="20"/>
          <w:szCs w:val="20"/>
          <w:color w:val="auto"/>
        </w:rPr>
      </w:pPr>
      <w:r>
        <w:rPr>
          <w:rFonts w:ascii="Times New Roman" w:cs="Times New Roman" w:eastAsia="Times New Roman" w:hAnsi="Times New Roman"/>
          <w:sz w:val="18"/>
          <w:szCs w:val="18"/>
          <w:b w:val="1"/>
          <w:bCs w:val="1"/>
          <w:u w:val="single" w:color="auto"/>
          <w:color w:val="auto"/>
        </w:rPr>
        <w:t>Delaware</w:t>
      </w:r>
      <w:r>
        <w:rPr>
          <w:sz w:val="20"/>
          <w:szCs w:val="20"/>
          <w:color w:val="auto"/>
        </w:rPr>
        <w:tab/>
      </w:r>
      <w:r>
        <w:rPr>
          <w:rFonts w:ascii="Times New Roman" w:cs="Times New Roman" w:eastAsia="Times New Roman" w:hAnsi="Times New Roman"/>
          <w:sz w:val="18"/>
          <w:szCs w:val="18"/>
          <w:b w:val="1"/>
          <w:bCs w:val="1"/>
          <w:u w:val="single" w:color="auto"/>
          <w:color w:val="auto"/>
        </w:rPr>
        <w:t>Singapore</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Shareholders’ Rights at Meetings</w:t>
      </w:r>
    </w:p>
    <w:p>
      <w:pPr>
        <w:spacing w:after="0" w:line="119" w:lineRule="exact"/>
        <w:rPr>
          <w:sz w:val="20"/>
          <w:szCs w:val="20"/>
          <w:color w:val="auto"/>
        </w:rPr>
      </w:pPr>
    </w:p>
    <w:p>
      <w:pPr>
        <w:ind w:left="5460" w:right="40"/>
        <w:spacing w:after="0" w:line="256" w:lineRule="auto"/>
        <w:rPr>
          <w:sz w:val="20"/>
          <w:szCs w:val="20"/>
          <w:color w:val="auto"/>
        </w:rPr>
      </w:pPr>
      <w:r>
        <w:rPr>
          <w:rFonts w:ascii="Times New Roman" w:cs="Times New Roman" w:eastAsia="Times New Roman" w:hAnsi="Times New Roman"/>
          <w:sz w:val="18"/>
          <w:szCs w:val="18"/>
          <w:color w:val="auto"/>
        </w:rPr>
        <w:t>The Singapore Companies Act provides that every member has, despite any provision in the constitution, a right to attend any general meeting of the company and to speak on any resolution before the meeting. The company’s constitution may provide that a member shall not be entitled to vote unless all calls or other sums personally payable by the member in respect of shares in the company have been paid.</w:t>
      </w:r>
    </w:p>
    <w:p>
      <w:pPr>
        <w:spacing w:after="0" w:line="79" w:lineRule="exact"/>
        <w:rPr>
          <w:sz w:val="20"/>
          <w:szCs w:val="20"/>
          <w:color w:val="auto"/>
        </w:rPr>
      </w:pPr>
    </w:p>
    <w:p>
      <w:pPr>
        <w:ind w:left="5460"/>
        <w:spacing w:after="0" w:line="258" w:lineRule="auto"/>
        <w:rPr>
          <w:sz w:val="20"/>
          <w:szCs w:val="20"/>
          <w:color w:val="auto"/>
        </w:rPr>
      </w:pPr>
      <w:r>
        <w:rPr>
          <w:rFonts w:ascii="Times New Roman" w:cs="Times New Roman" w:eastAsia="Times New Roman" w:hAnsi="Times New Roman"/>
          <w:sz w:val="18"/>
          <w:szCs w:val="18"/>
          <w:color w:val="auto"/>
        </w:rPr>
        <w:t>Public companies may issue non-voting shares and shares that confer special, limited and conditional voting rights, such that the holder of a share may vote on a resolution before a general meeting if, in accordance with the provisions of Section 64A of the Singapore Companies Act, the share confers on the holder a right to vote on the resolution.</w:t>
      </w:r>
    </w:p>
    <w:p>
      <w:pPr>
        <w:spacing w:after="0" w:line="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Circulation of Shareholders’ Resolutions</w:t>
      </w:r>
    </w:p>
    <w:p>
      <w:pPr>
        <w:spacing w:after="0" w:line="119" w:lineRule="exact"/>
        <w:rPr>
          <w:sz w:val="20"/>
          <w:szCs w:val="20"/>
          <w:color w:val="auto"/>
        </w:rPr>
      </w:pPr>
    </w:p>
    <w:p>
      <w:pPr>
        <w:ind w:left="5460" w:right="40"/>
        <w:spacing w:after="0" w:line="253" w:lineRule="auto"/>
        <w:rPr>
          <w:sz w:val="20"/>
          <w:szCs w:val="20"/>
          <w:color w:val="auto"/>
        </w:rPr>
      </w:pPr>
      <w:r>
        <w:rPr>
          <w:rFonts w:ascii="Times New Roman" w:cs="Times New Roman" w:eastAsia="Times New Roman" w:hAnsi="Times New Roman"/>
          <w:sz w:val="18"/>
          <w:szCs w:val="18"/>
          <w:color w:val="auto"/>
        </w:rPr>
        <w:t>Under the Singapore Companies Act, (a) any number of shareholders representing not less than 5% of the total voting rights of all the shareholders having at the date of requisition a right to vote at a meeting to which the requisition relates or (b) not less than 100 shareholders holding shares on which there has been paid up an average sum, per shareholder, of not less than S$500, may requisition the company to give to shareholders notice of any resolution which may properly be moved and is intended to be moved at the next annual general meeting, and circulate to shareholders any statement of not more than 1,000 words with respect to the matter referred to in any proposed resolution or the business to be dealt with at that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533400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Officers, Directors and Employees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w:t>
      </w:r>
    </w:p>
    <w:p>
      <w:pPr>
        <w:spacing w:after="0" w:line="79" w:lineRule="exact"/>
        <w:rPr>
          <w:sz w:val="20"/>
          <w:szCs w:val="20"/>
          <w:color w:val="auto"/>
        </w:rPr>
      </w:pPr>
    </w:p>
    <w:p>
      <w:pPr>
        <w:ind w:left="340" w:right="20" w:hanging="168"/>
        <w:spacing w:after="0" w:line="261" w:lineRule="auto"/>
        <w:tabs>
          <w:tab w:leader="none" w:pos="3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acted in good faith and in a manner he or she reasonably believed to be in or not opposed to the best interests of the corporation or, in some circumstances, at least not opposed to its best interests; and</w:t>
      </w:r>
    </w:p>
    <w:p>
      <w:pPr>
        <w:spacing w:after="0" w:line="71" w:lineRule="exact"/>
        <w:rPr>
          <w:rFonts w:ascii="Times New Roman" w:cs="Times New Roman" w:eastAsia="Times New Roman" w:hAnsi="Times New Roman"/>
          <w:sz w:val="14"/>
          <w:szCs w:val="14"/>
          <w:color w:val="auto"/>
        </w:rPr>
      </w:pPr>
    </w:p>
    <w:p>
      <w:pPr>
        <w:ind w:left="340" w:right="80" w:hanging="168"/>
        <w:spacing w:after="0" w:line="282" w:lineRule="auto"/>
        <w:tabs>
          <w:tab w:leader="none" w:pos="3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 a criminal proceeding, had no reasonable cause to believe his or her conduct was unlawful.</w:t>
      </w:r>
    </w:p>
    <w:p>
      <w:pPr>
        <w:spacing w:after="0" w:line="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Delaware corporate law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the extent a director, officer, employee or agent is successful in the defense of such an action, suit or proceeding, the corporation is required by Delaware corporate law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that person is not entitled to be so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Approval of Issuances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00" w:lineRule="exact"/>
        <w:rPr>
          <w:sz w:val="20"/>
          <w:szCs w:val="20"/>
          <w:color w:val="auto"/>
        </w:rPr>
      </w:pPr>
    </w:p>
    <w:p>
      <w:pPr>
        <w:spacing w:after="0" w:line="2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Section 172 of the Singapore Companies Act, any provision exempting or indemnifying the officers of a company (including directors) against liability, which by law would otherwise attach to them in connection with any negligence, default, breach of duty or breach of trust in relation to the company is void.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Singapore Companies Act allows a company to:</w:t>
      </w:r>
    </w:p>
    <w:p>
      <w:pPr>
        <w:spacing w:after="0" w:line="117" w:lineRule="exact"/>
        <w:rPr>
          <w:sz w:val="20"/>
          <w:szCs w:val="20"/>
          <w:color w:val="auto"/>
        </w:rPr>
      </w:pPr>
    </w:p>
    <w:p>
      <w:pPr>
        <w:ind w:left="380" w:right="40" w:hanging="195"/>
        <w:spacing w:after="0" w:line="261" w:lineRule="auto"/>
        <w:tabs>
          <w:tab w:leader="none" w:pos="3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purchase and maintain for any officer insurance against any liability which by law would otherwise attach to such officer in connection with any negligence, default, breach of duty or breach of trust in relation to the company;</w:t>
      </w:r>
    </w:p>
    <w:p>
      <w:pPr>
        <w:spacing w:after="0" w:line="71" w:lineRule="exact"/>
        <w:rPr>
          <w:rFonts w:ascii="Times New Roman" w:cs="Times New Roman" w:eastAsia="Times New Roman" w:hAnsi="Times New Roman"/>
          <w:sz w:val="14"/>
          <w:szCs w:val="14"/>
          <w:color w:val="auto"/>
        </w:rPr>
      </w:pPr>
    </w:p>
    <w:p>
      <w:pPr>
        <w:ind w:left="380" w:hanging="195"/>
        <w:spacing w:after="0" w:line="253" w:lineRule="auto"/>
        <w:tabs>
          <w:tab w:leader="none" w:pos="3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indemnify such officer against any liability incurred by him or her to a person other than the company except when the indemnity is against any liability (i) of the officer to pay a fine in criminal proceedings, (ii) of the officer to pay a penalty in respect of non-compliance with any regulatory requirements, (iii) incurred by the officer in defending criminal proceedings in which he or she is convicted, (iv) incurred by the officer in defending civil proceedings brought by the company or a related company in which judgment is given against him or her, or (v) incurred by the officer in connection with an application for relief under Section 76A(13) or Section 391 of the Singapore Companies Act in which the court refuses to grant him or her relief.</w:t>
      </w:r>
    </w:p>
    <w:p>
      <w:pPr>
        <w:spacing w:after="0" w:line="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cases where a director is sued by the company, the Singapore Companies Act gives the court the power to relieve directors either wholly or partially from their liability for their negligence, default, breach of duty or breach of trust. In order for relief to be obtained, it must be shown that (i) the director acted reasonably and honestly; and (ii) it is fair, having regard to all the circumstances of the case including those connected with such director’s appointment, to excuse the director. However, Singapore case law has indicated that such relief will not be granted to a director who has benefited as a result of his or her breach of trust.</w:t>
      </w:r>
    </w:p>
    <w:p>
      <w:pPr>
        <w:spacing w:after="0" w:line="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applicable statute for the time being in force concerning companies and affecting the company, the directors and officers are entitled to be indemnified against costs, charges, fees and other expenses that may be incurred by such person in defending any proceedings, whether civil or criminal, which relates to anything done or omitted or alleged to be done or omitted by such person as a director, officer or employee of the company and in which judgment is given in his or her favor or in which such person is acquitted or in which the courts have granted relief pursuant to the provisions of the Singapore Companies Act, provided that such indemnity shall not extend to any liability which by law would otherwise attach to him or her in respect of any negligence, default, breach of duty or breach of trust of which he or she may be guilty in relation to the company, or which would otherwise result in such indemnity being voided under applicable Singapore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740410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20" w:space="440"/>
            <w:col w:w="5560"/>
          </w:cols>
          <w:pgMar w:left="420" w:top="76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auto"/>
        </w:rPr>
        <w:t>Delaware</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Delaware law, the board of directors has the authority to issue, from time to time, capital stock in its sole discretion, as long as the number the shares to be issued, together with those shares that are already issued and outstanding and those shares reserved to be issued, do not exceed the authorized capital for the corporation as previously approved by the stockholders and set forth in the corporation’s certificate of incorporation. Under the foregoing circumstances, no additional stockholder approval is required for the issuance of capital stock. Under Delaware law, stockholder approval is required (i) for any amendment to the corporation’s certificate of incorporation to increase the authorized capital and (ii) for the issuance of stock in a direct merger transaction where the number of shares exceeds 20% of the corporation’s shares outstanding prior to the transaction, regardless of whether there is sufficient authorized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Approval of Business Combinations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Generally, under the Delaware General Corporation Law, completion of a merger, consolidation, or the sale, lease or exchange of substantially all of a corporation’s assets or dissolution requires approval by the board of directors and by a majority (unless the certificate of incorporation requires a higher percentage) of outstanding stock of the corporation entitled to vote.</w:t>
      </w:r>
    </w:p>
    <w:p>
      <w:pPr>
        <w:spacing w:after="0" w:line="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also requires a special vote of stockholders in connection with a business combination with an “interested stockholder” as defined in section 203 of the Delaware General Corporation Law. See “—Interested Shareholders”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Action Without A Meeting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unless otherwise provided in a corporation’s certificate of incorporation, any action that may be taken at a meeting of stockholders may be taken without a meeting, without prior notice and without a vote if the holders of outstanding stock, having not less than the minimum number of votes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161 of the Singapore Companies Act provides that despite anything in the company’s constitution, the directors must not exercise any power to issue shares without prior approval of Company’s shareholders in a general meeting. The affirmative vote of shareholders holding at least a majority of the ordinary shares held by the shareholders present in person or represented by proxy at the annual general meeting and entitled to vote is required for this authorization. Once this shareholders’ approval is obtained, unless previously revoked or varied by the company in general meeting, it continues in force until the conclusion of the next annual general meeting or the expiration of the period within which the next annual general meeting after that date is required by law to be held, whichever is earlier; but any approval may be revoked or varied by the company in general meeting.</w:t>
      </w:r>
    </w:p>
    <w:p>
      <w:pPr>
        <w:spacing w:after="0" w:line="8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Notwithstanding this general authorization to allot and issue our ordinary shares, Wave will be required to seek shareholder approval with respect to future issuances of ordinary shares, where required under The Nasdaq Stock Market rules, such as if we were to propose an issuance of ordinary shares that would result in a change in control of Wave or in connection with certain transactions involving the issuance of ordinary shares representing 20% or more of our outstanding ordinary shares.</w:t>
      </w:r>
    </w:p>
    <w:p>
      <w:pPr>
        <w:spacing w:after="0" w:line="200" w:lineRule="exact"/>
        <w:rPr>
          <w:sz w:val="20"/>
          <w:szCs w:val="20"/>
          <w:color w:val="auto"/>
        </w:rPr>
      </w:pPr>
    </w:p>
    <w:p>
      <w:pPr>
        <w:spacing w:after="0" w:line="20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Singapore Companies Act and the Insolvency, Restructuring and Dissolution Act 2018 mandates that specified corporate actions require approval by the shareholders in a general meeting, notably:</w:t>
      </w:r>
    </w:p>
    <w:p>
      <w:pPr>
        <w:spacing w:after="0" w:line="68" w:lineRule="exact"/>
        <w:rPr>
          <w:sz w:val="20"/>
          <w:szCs w:val="20"/>
          <w:color w:val="auto"/>
        </w:rPr>
      </w:pPr>
    </w:p>
    <w:p>
      <w:pPr>
        <w:jc w:val="both"/>
        <w:ind w:left="380" w:right="40" w:hanging="195"/>
        <w:spacing w:after="0" w:line="281" w:lineRule="auto"/>
        <w:tabs>
          <w:tab w:leader="none" w:pos="3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despite anything in the company’s constitution, directors must not carry into effect any proposals for disposing of the whole or substantially the whole of the company’s undertaking or property unless those proposals have been approved by shareholders in a general meeting;</w:t>
      </w:r>
    </w:p>
    <w:p>
      <w:pPr>
        <w:spacing w:after="0" w:line="56" w:lineRule="exact"/>
        <w:rPr>
          <w:rFonts w:ascii="Times New Roman" w:cs="Times New Roman" w:eastAsia="Times New Roman" w:hAnsi="Times New Roman"/>
          <w:sz w:val="13"/>
          <w:szCs w:val="13"/>
          <w:color w:val="auto"/>
        </w:rPr>
      </w:pPr>
    </w:p>
    <w:p>
      <w:pPr>
        <w:ind w:left="380" w:right="400" w:hanging="195"/>
        <w:spacing w:after="0" w:line="282" w:lineRule="auto"/>
        <w:tabs>
          <w:tab w:leader="none" w:pos="3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company may by special resolution resolve that it be wound up voluntarily;</w:t>
      </w:r>
    </w:p>
    <w:p>
      <w:pPr>
        <w:spacing w:after="0" w:line="53" w:lineRule="exact"/>
        <w:rPr>
          <w:rFonts w:ascii="Times New Roman" w:cs="Times New Roman" w:eastAsia="Times New Roman" w:hAnsi="Times New Roman"/>
          <w:sz w:val="14"/>
          <w:szCs w:val="14"/>
          <w:color w:val="auto"/>
        </w:rPr>
      </w:pPr>
    </w:p>
    <w:p>
      <w:pPr>
        <w:ind w:left="380" w:right="180" w:hanging="195"/>
        <w:spacing w:after="0" w:line="289" w:lineRule="auto"/>
        <w:tabs>
          <w:tab w:leader="none" w:pos="3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subject to the constitution of each amalgamating company, an amalgamation proposal must be approved by the shareholders of each amalgamating company via special resolution at a general meeting;</w:t>
      </w:r>
    </w:p>
    <w:p>
      <w:pPr>
        <w:spacing w:after="0" w:line="49" w:lineRule="exact"/>
        <w:rPr>
          <w:rFonts w:ascii="Times New Roman" w:cs="Times New Roman" w:eastAsia="Times New Roman" w:hAnsi="Times New Roman"/>
          <w:sz w:val="13"/>
          <w:szCs w:val="13"/>
          <w:color w:val="auto"/>
        </w:rPr>
      </w:pPr>
    </w:p>
    <w:p>
      <w:pPr>
        <w:ind w:left="380" w:right="40" w:hanging="195"/>
        <w:spacing w:after="0" w:line="258" w:lineRule="auto"/>
        <w:tabs>
          <w:tab w:leader="none" w:pos="3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 compromise or arrangement proposed between a company and its shareholders, or any class of them, must, among other things, be approved by a majority in number representing three-fourths in value of the shareholders or class of shareholders present and voting either in person or by proxy at the meeting ordered by the court; and</w:t>
      </w:r>
    </w:p>
    <w:p>
      <w:pPr>
        <w:spacing w:after="0" w:line="75" w:lineRule="exact"/>
        <w:rPr>
          <w:rFonts w:ascii="Times New Roman" w:cs="Times New Roman" w:eastAsia="Times New Roman" w:hAnsi="Times New Roman"/>
          <w:sz w:val="14"/>
          <w:szCs w:val="14"/>
          <w:color w:val="auto"/>
        </w:rPr>
      </w:pPr>
    </w:p>
    <w:p>
      <w:pPr>
        <w:ind w:left="380" w:right="140" w:hanging="195"/>
        <w:spacing w:after="0" w:line="266" w:lineRule="auto"/>
        <w:tabs>
          <w:tab w:leader="none" w:pos="3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despite anything in the company’s constitution, the directors must not, without the prior approval of shareholders, issue shares, including shares being issued in connection with corporate actions.</w:t>
      </w:r>
    </w:p>
    <w:p>
      <w:pPr>
        <w:spacing w:after="0" w:line="39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There are no equivalent provisions under the Singapore Companies Act in respect of public companies which are listed on a securities exchange, like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727710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20" w:space="440"/>
            <w:col w:w="5580"/>
          </w:cols>
          <w:pgMar w:left="420" w:top="76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auto"/>
        </w:rPr>
        <w:t>Delaware</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that would be necessary to authorize such action, consent in writing. It is not uncommon for a corporation’s certificate of incorporation to prohibit such action.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Suits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Standing</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Only registered shareholders of our company reflected in our register of members are recognized under Singapore law as shareholders of our company. As a result, only registered shareholders have legal standing to institute shareholder actions against us or otherwise seek to enforce their rights as shareholders. Holders of book-entry interests in our shares will be required to exchange their book-entry interests for certificated shares and to be registered as shareholders in our shareholder register in order to institute or enforce any legal proceedings or claims against us, our directors or our executive officers relating to shareholder rights. A holder of book-entry interests may become a registered shareholder of our company by exchanging its interest in our shares for certificated shares and being registered in our shareholder register.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remedies in cases of oppression or injustice</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shareholder may apply to the court for an order under Section 216 of the Singapore Companies Act to remedy situations where (i) the company’s affairs are being conducted or the powers of the company’s directors are being exercised in a manner oppressive to, or in disregard of the interests of one or more of the shareholders or holders of debentures of the company, including the applicant; or (ii) the company has done an act, or threatens to do an act, or the shareholders or holders of debentures have passed some resolution, which unfairly discriminates against, or is otherwise prejudicial to, one or more of the company’s shareholders or holders of debentures, including the applicant.</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Singapore courts have wide discretion as to the relief they may grant under such application,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directing or prohibiting any act or cancelling or varying any transaction or resolution, providing that the company be wound up, or authorizing civil proceedings to be brought in the name of or on behalf of the company by such person or persons and on such terms as the court directs.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529590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20" w:space="440"/>
            <w:col w:w="5480"/>
          </w:cols>
          <w:pgMar w:left="420" w:top="765" w:right="5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and Dividends; Repurchases and Redemptions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actions and arbitrations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Singapore Companies Act has a provision which provides a mechanism enabling shareholders to apply to the court for leave to bring a derivative action or commence an arbitration on behalf of the company. Derivative actions are also allowed as a common law action.</w:t>
      </w:r>
    </w:p>
    <w:p>
      <w:pPr>
        <w:spacing w:after="0" w:line="7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Applications are generally made by shareholders of the company, but courts are given the discretion to allow such persons as they deem proper to apply (e.g., beneficial owner of shares).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should be noted that this provision of the Singapore Companies Act is primarily used by minority shareholders to bring an action or arbitration in the name and on behalf of the company or intervene in an action or arbitration to which the company is a party for the purpose of prosecuting, defending or discontinuing the action or arbitration on behalf of the company. Prior to commencing a derivative action or arbitration, the court must be satisfied that (i) 14 days’ notice has been given to the directors of the company of the party’s intention to commence such action or arbitration if the directors of the company do not bring, diligently prosecute or defend or discontinue the action, (ii) the party is acting in good faith and (iii) it appears to be prima facie in the interests of the company that the action be brought, prosecuted, defended or discontinued.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actions</w:t>
      </w:r>
    </w:p>
    <w:p>
      <w:pPr>
        <w:spacing w:after="0" w:line="11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concept of class action suits in the United States, which allows individual shareholders to bring an action seeking to represent the class or classes of shareholders, does not exist in the same manner in Singapore. In Singapore, it is possible as a matter of procedure for a number of shareholders who have a common interest in any proceedings, to begin proceedings as a group with one or more of such shareholders representing the group.</w:t>
      </w:r>
    </w:p>
    <w:p>
      <w:pPr>
        <w:spacing w:after="0" w:line="200" w:lineRule="exact"/>
        <w:rPr>
          <w:sz w:val="20"/>
          <w:szCs w:val="20"/>
          <w:color w:val="auto"/>
        </w:rPr>
      </w:pPr>
    </w:p>
    <w:p>
      <w:pPr>
        <w:spacing w:after="0" w:line="20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Singapore Companies Act provides that no dividend is payable to the shareholders of any company except out of profits.</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Singapore Companies Act does not provide a definition on when profits are deemed to be available for the purpose of paying dividends and this is accordingly governed by case law.</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constitution provides that no dividend can be paid otherwise than out of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1678940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80" w:space="480"/>
            <w:col w:w="5580"/>
          </w:cols>
          <w:pgMar w:left="420" w:top="765" w:right="439" w:bottom="1440" w:gutter="0" w:footer="0" w:header="0"/>
        </w:sectPr>
      </w:pPr>
    </w:p>
    <w:bookmarkStart w:id="141" w:name="page142"/>
    <w:bookmarkEnd w:id="141"/>
    <w:p>
      <w:pPr>
        <w:spacing w:after="0"/>
        <w:tabs>
          <w:tab w:leader="none" w:pos="5440" w:val="left"/>
        </w:tabs>
        <w:rPr>
          <w:sz w:val="20"/>
          <w:szCs w:val="20"/>
          <w:color w:val="auto"/>
        </w:rPr>
      </w:pPr>
      <w:r>
        <w:rPr>
          <w:rFonts w:ascii="Times New Roman" w:cs="Times New Roman" w:eastAsia="Times New Roman" w:hAnsi="Times New Roman"/>
          <w:sz w:val="18"/>
          <w:szCs w:val="18"/>
          <w:b w:val="1"/>
          <w:bCs w:val="1"/>
          <w:u w:val="single" w:color="auto"/>
          <w:color w:val="auto"/>
        </w:rPr>
        <w:t>Delaware</w:t>
      </w:r>
      <w:r>
        <w:rPr>
          <w:sz w:val="20"/>
          <w:szCs w:val="20"/>
          <w:color w:val="auto"/>
        </w:rPr>
        <w:tab/>
      </w:r>
      <w:r>
        <w:rPr>
          <w:rFonts w:ascii="Times New Roman" w:cs="Times New Roman" w:eastAsia="Times New Roman" w:hAnsi="Times New Roman"/>
          <w:sz w:val="18"/>
          <w:szCs w:val="18"/>
          <w:b w:val="1"/>
          <w:bCs w:val="1"/>
          <w:u w:val="single" w:color="auto"/>
          <w:color w:val="auto"/>
        </w:rPr>
        <w:t>Singapore</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Acquisition of a company’s own shares</w:t>
      </w:r>
    </w:p>
    <w:p>
      <w:pPr>
        <w:spacing w:after="0" w:line="119" w:lineRule="exact"/>
        <w:rPr>
          <w:sz w:val="20"/>
          <w:szCs w:val="20"/>
          <w:color w:val="auto"/>
        </w:rPr>
      </w:pPr>
    </w:p>
    <w:p>
      <w:pPr>
        <w:ind w:left="5460" w:right="20"/>
        <w:spacing w:after="0" w:line="253" w:lineRule="auto"/>
        <w:rPr>
          <w:sz w:val="20"/>
          <w:szCs w:val="20"/>
          <w:color w:val="auto"/>
        </w:rPr>
      </w:pPr>
      <w:r>
        <w:rPr>
          <w:rFonts w:ascii="Times New Roman" w:cs="Times New Roman" w:eastAsia="Times New Roman" w:hAnsi="Times New Roman"/>
          <w:sz w:val="18"/>
          <w:szCs w:val="18"/>
          <w:color w:val="auto"/>
        </w:rPr>
        <w:t>The Singapore Companies Act generally prohibits a company from acquiring its own shares or purporting to acquire the shares of its holding company or ultimate holding company, whether directly or indirectly, in any way, subject to certain exceptions. Any contract or transaction made or entered into in contravention of the aforementioned prohibition by which a company acquires or purports to acquire its own shares or shares in its holding company or ultimate holding company is void. However, provided that it is expressly permitted to do so by its constitution and subject to the special conditions of each permitted acquisition contained in the Singapore Companies Act, a company may:</w:t>
      </w:r>
    </w:p>
    <w:p>
      <w:pPr>
        <w:spacing w:after="0" w:line="86" w:lineRule="exact"/>
        <w:rPr>
          <w:sz w:val="20"/>
          <w:szCs w:val="20"/>
          <w:color w:val="auto"/>
        </w:rPr>
      </w:pPr>
    </w:p>
    <w:p>
      <w:pPr>
        <w:ind w:left="5640"/>
        <w:spacing w:after="0"/>
        <w:tabs>
          <w:tab w:leader="none" w:pos="58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7"/>
          <w:szCs w:val="17"/>
          <w:color w:val="auto"/>
        </w:rPr>
        <w:t>redeem redeemable preferred shares on such terms and in such manner</w:t>
      </w:r>
    </w:p>
    <w:p>
      <w:pPr>
        <w:spacing w:after="0" w:line="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is provided by its constitution. Preferred shares may be redeemed out</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of capital only if all the directors make a solvency statement in relation</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to such redemption in accordance with the Singapore Companies Act,</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and the company lodges a copy of the statement with the Registrar of</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Companies;</w:t>
      </w:r>
    </w:p>
    <w:p>
      <w:pPr>
        <w:spacing w:after="0" w:line="99" w:lineRule="exact"/>
        <w:rPr>
          <w:sz w:val="20"/>
          <w:szCs w:val="20"/>
          <w:color w:val="auto"/>
        </w:rPr>
      </w:pPr>
    </w:p>
    <w:p>
      <w:pPr>
        <w:ind w:left="5640"/>
        <w:spacing w:after="0"/>
        <w:tabs>
          <w:tab w:leader="none" w:pos="58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7"/>
          <w:szCs w:val="17"/>
          <w:color w:val="auto"/>
        </w:rPr>
        <w:t>whether listed on an exchange in Singapore approved by the Monetary</w:t>
      </w:r>
    </w:p>
    <w:p>
      <w:pPr>
        <w:spacing w:after="0" w:line="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Authority of Singapore or any securities exchange outside Singapore, or</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not, make an off-market purchase of its own shares in accordance with</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an equal access scheme authorized in advance at a general meeting;</w:t>
      </w:r>
    </w:p>
    <w:p>
      <w:pPr>
        <w:spacing w:after="0" w:line="99" w:lineRule="exact"/>
        <w:rPr>
          <w:sz w:val="20"/>
          <w:szCs w:val="20"/>
          <w:color w:val="auto"/>
        </w:rPr>
      </w:pPr>
    </w:p>
    <w:p>
      <w:pPr>
        <w:ind w:left="5640"/>
        <w:spacing w:after="0"/>
        <w:tabs>
          <w:tab w:leader="none" w:pos="58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7"/>
          <w:szCs w:val="17"/>
          <w:color w:val="auto"/>
        </w:rPr>
        <w:t>make a selective off-market purchase of its own shares in accordance</w:t>
      </w:r>
    </w:p>
    <w:p>
      <w:pPr>
        <w:spacing w:after="0" w:line="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with an agreement authorized in advance at a general meeting by a</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special resolution where persons whose shares are to be acquired and</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their associated persons have abstained from voting. On November 5,</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2025, the Singapore Parliament passed the Corporate and Accounting</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xml:space="preserve">Laws (Amendment) Act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amends the Singapore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Companies Act to introduce a two-tier approval process where the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shares that are the subject of a selective off-market purchase belong to a</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particular class of shares and do not constitute all the shares in that</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class. In such a case, the company must also obtain the consent of at</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least 75% of the holders of the shares of that class (but excluding any</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person whose shares are to be acquired and their associated persons) to</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the terms of the agreement for the selective off-market purchase, before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passing the special resolution authorising such agreement. The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Corporate and Accounting Laws (Amendment) Act is to come into</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operation on a date that the Minister appoints by notification in the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Government Gazette of the Republic of Singapore and as of January 19,</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2026, no such notification has been made. The Accounting and</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Corporate Regulatory Authority of Singapore expects most provisions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of the aforementioned Act to commence from April 2026 onwards; and</w:t>
      </w:r>
    </w:p>
    <w:p>
      <w:pPr>
        <w:spacing w:after="0" w:line="99" w:lineRule="exact"/>
        <w:rPr>
          <w:sz w:val="20"/>
          <w:szCs w:val="20"/>
          <w:color w:val="auto"/>
        </w:rPr>
      </w:pPr>
    </w:p>
    <w:p>
      <w:pPr>
        <w:ind w:left="5640"/>
        <w:spacing w:after="0"/>
        <w:tabs>
          <w:tab w:leader="none" w:pos="58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7"/>
          <w:szCs w:val="17"/>
          <w:color w:val="auto"/>
        </w:rPr>
        <w:t>whether listed on an exchange in Singapore approved by the Monetary</w:t>
      </w:r>
    </w:p>
    <w:p>
      <w:pPr>
        <w:spacing w:after="0" w:line="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Authority of Singapore or any securities exchange outside Singapore, or</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not, make an acquisition of its own shares under a contingent purchase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contract which has been authorized in advance at a general meeting by a</w:t>
      </w:r>
    </w:p>
    <w:p>
      <w:pPr>
        <w:spacing w:after="0" w:line="2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special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541655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142" w:name="page143"/>
    <w:bookmarkEnd w:id="142"/>
    <w:p>
      <w:pPr>
        <w:spacing w:after="0"/>
        <w:tabs>
          <w:tab w:leader="none" w:pos="5440" w:val="left"/>
        </w:tabs>
        <w:rPr>
          <w:sz w:val="20"/>
          <w:szCs w:val="20"/>
          <w:color w:val="auto"/>
        </w:rPr>
      </w:pPr>
      <w:r>
        <w:rPr>
          <w:rFonts w:ascii="Times New Roman" w:cs="Times New Roman" w:eastAsia="Times New Roman" w:hAnsi="Times New Roman"/>
          <w:sz w:val="18"/>
          <w:szCs w:val="18"/>
          <w:b w:val="1"/>
          <w:bCs w:val="1"/>
          <w:u w:val="single" w:color="auto"/>
          <w:color w:val="auto"/>
        </w:rPr>
        <w:t>Delaware</w:t>
      </w:r>
      <w:r>
        <w:rPr>
          <w:sz w:val="20"/>
          <w:szCs w:val="20"/>
          <w:color w:val="auto"/>
        </w:rPr>
        <w:tab/>
      </w:r>
      <w:r>
        <w:rPr>
          <w:rFonts w:ascii="Times New Roman" w:cs="Times New Roman" w:eastAsia="Times New Roman" w:hAnsi="Times New Roman"/>
          <w:sz w:val="18"/>
          <w:szCs w:val="18"/>
          <w:b w:val="1"/>
          <w:bCs w:val="1"/>
          <w:u w:val="single" w:color="auto"/>
          <w:color w:val="auto"/>
        </w:rPr>
        <w:t>Singapore</w:t>
      </w:r>
    </w:p>
    <w:p>
      <w:pPr>
        <w:spacing w:after="0" w:line="121" w:lineRule="exact"/>
        <w:rPr>
          <w:sz w:val="20"/>
          <w:szCs w:val="20"/>
          <w:color w:val="auto"/>
        </w:rPr>
      </w:pPr>
    </w:p>
    <w:p>
      <w:pPr>
        <w:ind w:left="5640"/>
        <w:spacing w:after="0"/>
        <w:tabs>
          <w:tab w:leader="none" w:pos="58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7"/>
          <w:szCs w:val="17"/>
          <w:color w:val="auto"/>
        </w:rPr>
        <w:t>The total number of ordinary shares, stocks in any class and non-</w:t>
      </w:r>
    </w:p>
    <w:p>
      <w:pPr>
        <w:spacing w:after="0" w:line="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redeemable preferred shares that may be acquired by a company in a</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relevant period must not exceed 20% (or such other prescribed</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percentage) of the total number of ordinary shares, stocks in any class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or non-redeemable preferred shares (as the case may be) as of the date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of the resolution to acquire the shares. Where, however, a company has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reduced its share capital by a special resolution or a Singapore court</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made an order to such effect, the total number of ordinary shares, stocks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in any class or non-redeemable preferred shares shall be taken to be the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total number of ordinary shares, stocks in any class or non-redeemable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preferred shares (as the case may be) as altered by the special resolution</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or the order of the court. Payment, including any expenses (including</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brokerage or commission) incurred directly in the acquisition by the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company of its own shares, may be made out of the company’s profits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or capital, provided that the company is solvent.</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 company may also purchase its own shares by an order of a Singapore</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court.</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Financial assistance for the acquisition of shares</w:t>
      </w:r>
    </w:p>
    <w:p>
      <w:pPr>
        <w:spacing w:after="0" w:line="119" w:lineRule="exact"/>
        <w:rPr>
          <w:sz w:val="20"/>
          <w:szCs w:val="20"/>
          <w:color w:val="auto"/>
        </w:rPr>
      </w:pPr>
    </w:p>
    <w:p>
      <w:pPr>
        <w:ind w:left="5460"/>
        <w:spacing w:after="0" w:line="261" w:lineRule="auto"/>
        <w:rPr>
          <w:sz w:val="20"/>
          <w:szCs w:val="20"/>
          <w:color w:val="auto"/>
        </w:rPr>
      </w:pPr>
      <w:r>
        <w:rPr>
          <w:rFonts w:ascii="Times New Roman" w:cs="Times New Roman" w:eastAsia="Times New Roman" w:hAnsi="Times New Roman"/>
          <w:sz w:val="18"/>
          <w:szCs w:val="18"/>
          <w:color w:val="auto"/>
        </w:rPr>
        <w:t>A public company or a company whose holding company or ultimate holding company is a public company must not give financial assistance to any person whether directly or indirectly for the purpose of or in connection with:</w:t>
      </w:r>
    </w:p>
    <w:p>
      <w:pPr>
        <w:spacing w:after="0" w:line="72" w:lineRule="exact"/>
        <w:rPr>
          <w:sz w:val="20"/>
          <w:szCs w:val="20"/>
          <w:color w:val="auto"/>
        </w:rPr>
      </w:pPr>
    </w:p>
    <w:p>
      <w:pPr>
        <w:ind w:left="5720"/>
        <w:spacing w:after="0"/>
        <w:tabs>
          <w:tab w:leader="none" w:pos="5940" w:val="left"/>
        </w:tabs>
        <w:rPr>
          <w:sz w:val="20"/>
          <w:szCs w:val="20"/>
          <w:color w:val="auto"/>
        </w:rPr>
      </w:pPr>
      <w:r>
        <w:rPr>
          <w:rFonts w:ascii="Times New Roman" w:cs="Times New Roman" w:eastAsia="Times New Roman" w:hAnsi="Times New Roman"/>
          <w:sz w:val="18"/>
          <w:szCs w:val="18"/>
          <w:color w:val="auto"/>
        </w:rPr>
        <w:t>•</w:t>
        <w:tab/>
        <w:t>the acquisition or proposed acquisition of shares in the company or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units of such shares; or</w:t>
      </w:r>
    </w:p>
    <w:p>
      <w:pPr>
        <w:spacing w:after="0" w:line="99" w:lineRule="exact"/>
        <w:rPr>
          <w:sz w:val="20"/>
          <w:szCs w:val="20"/>
          <w:color w:val="auto"/>
        </w:rPr>
      </w:pPr>
    </w:p>
    <w:p>
      <w:pPr>
        <w:jc w:val="both"/>
        <w:ind w:left="5720"/>
        <w:spacing w:after="0"/>
        <w:tabs>
          <w:tab w:leader="none" w:pos="5940" w:val="left"/>
        </w:tabs>
        <w:rPr>
          <w:sz w:val="20"/>
          <w:szCs w:val="20"/>
          <w:color w:val="auto"/>
        </w:rPr>
      </w:pPr>
      <w:r>
        <w:rPr>
          <w:rFonts w:ascii="Times New Roman" w:cs="Times New Roman" w:eastAsia="Times New Roman" w:hAnsi="Times New Roman"/>
          <w:sz w:val="18"/>
          <w:szCs w:val="18"/>
          <w:color w:val="auto"/>
        </w:rPr>
        <w:t>•</w:t>
        <w:tab/>
        <w:t>the acquisition or proposed acquisition of shares in its holding</w:t>
      </w:r>
    </w:p>
    <w:p>
      <w:pPr>
        <w:spacing w:after="0" w:line="27"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company or ultimate holding company, or units of such shares.</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Financial assistance may take the form of a loan, the giving of a guarantee,</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the provision of security, the release of an obligation, the release of a debt or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otherwise.</w:t>
      </w:r>
    </w:p>
    <w:p>
      <w:pPr>
        <w:spacing w:after="0" w:line="9" w:lineRule="exact"/>
        <w:rPr>
          <w:sz w:val="20"/>
          <w:szCs w:val="20"/>
          <w:color w:val="auto"/>
        </w:rPr>
      </w:pPr>
    </w:p>
    <w:p>
      <w:pPr>
        <w:ind w:left="5460" w:right="20"/>
        <w:spacing w:after="0" w:line="253" w:lineRule="auto"/>
        <w:rPr>
          <w:sz w:val="20"/>
          <w:szCs w:val="20"/>
          <w:color w:val="auto"/>
        </w:rPr>
      </w:pPr>
      <w:r>
        <w:rPr>
          <w:rFonts w:ascii="Times New Roman" w:cs="Times New Roman" w:eastAsia="Times New Roman" w:hAnsi="Times New Roman"/>
          <w:sz w:val="18"/>
          <w:szCs w:val="18"/>
          <w:color w:val="auto"/>
        </w:rPr>
        <w:t>However, it should be noted that a company may provide financial assistance for the acquisition of its shares or shares in its holding company or ultimate holding company if it complies with the requirements (including approval by special resolution) set out in the Singapore Companies Act.</w:t>
      </w:r>
    </w:p>
    <w:p>
      <w:pPr>
        <w:spacing w:after="0" w:line="81" w:lineRule="exact"/>
        <w:rPr>
          <w:sz w:val="20"/>
          <w:szCs w:val="20"/>
          <w:color w:val="auto"/>
        </w:rPr>
      </w:pPr>
    </w:p>
    <w:p>
      <w:pPr>
        <w:ind w:left="5460" w:right="20"/>
        <w:spacing w:after="0" w:line="256"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we may purchase or otherwise acquire our own shares upon such terms and subject to such conditions as we may deem fit. We may deal with any such shares which is so purchased or acquired by us in such manner as may be permitted under the Singapore Companies Act (including, without limitation, hold such shares as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735330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Officers or Directors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some contracts or transactions in which one or more of a corporation’s directors has an interest are not void or voidable because of such interest provided that some conditions, such as obtaining the required approval, fulfilling the requirements of good faith and ensuring the transaction does not include a conflicted “controlling stockholder”, are met. Under the Delaware General Corporation Law, a stockholder is considered a “controlling stockholder” if it (a) owns a majority of the stockholder voting power in director elections, (b) may elect, at its discretion, board nominees who make up a voting majority of the board, or (c) owns at least 33% of the stockholder voting power in director elections. Under the Delaware General Corporation Law, a transaction without a conflicted controlling stockholder may be approved as follows: either (a) the stockholders or the board of directors of a corporation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00" w:lineRule="exact"/>
        <w:rPr>
          <w:sz w:val="20"/>
          <w:szCs w:val="20"/>
          <w:color w:val="auto"/>
        </w:rPr>
      </w:pPr>
    </w:p>
    <w:p>
      <w:pPr>
        <w:spacing w:after="0" w:line="24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Singapore Companies Act, directors and the chief executive officer of the company are not prohibited from dealing with the company, but where they have an interest, whether directly or indirectly, in a transaction with the company, that interest must be disclosed to the board of directors. In particular, every director or chief executive officer who is in any way, whether directly or indirectly, interested in a transaction or proposed transaction with the company must, as soon as is practicable after the relevant facts have come to such director’s or, as the case may be, the chief executive officer’s knowledge, declare the nature of such interest at a meeting of the directors or send a written notice to the company detailing the nature, character and extent of the interest.</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a director or chief executive officer who holds any office or possesses any property which directly or indirectly might create interests in conflict with such director’s or, as the case may be, the chief executive officer’s duties as director or chief executive officer is required to declare the fact and the nature, character and extent of the conflict at a meeting of directors or send a written notice to the company detailing the nature, character and extent of the conflict.</w:t>
      </w:r>
    </w:p>
    <w:p>
      <w:pPr>
        <w:spacing w:after="0" w:line="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Singapore Companies Act extends the scope of this statutory duty of a director and chief executive officer to disclose any interests by pronouncing that an interest of a member of a director’s or, as the case may be, the chief executive officer’s family (including spouse, son, adopted son, step-son, daughter, adopted daughter and step-daughter) will be treated as an interest of the director or chief executive officer (as the case may be).</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director or chief executive officer is not deemed to be interested or to have been at any time interested in any transaction or proposed transaction where the interest of the director or chief executive officer (as the case may be) consists only of being a member or creditor of a corporation which is interested in the transaction or proposed transaction with the company if the interest may properly be regarded as immaterial. Where the transaction or the proposed transaction relates to any loan to the company, no disclosure need be made where the director or chief executive officer (as the case may be) has only guaranteed the repayment of such loan, unless the constitution provides otherwise.</w:t>
      </w:r>
    </w:p>
    <w:p>
      <w:pPr>
        <w:spacing w:after="0" w:line="8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Further, where any transaction or proposed transaction has been or will be made with or for the benefit of or on behalf of a related corporation (i.e., the holding company, subsidiary or subsidiary of a common holding company), the director or chief executive officer is not deemed to be interested or to have been at any time interested in such transaction or proposed transaction by virtue of only being a director or chief executive officer (as the case may be) of the related corporation, unless the constitution provides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519430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20" w:space="440"/>
            <w:col w:w="5580"/>
          </w:cols>
          <w:pgMar w:left="420" w:top="765" w:right="439" w:bottom="1440" w:gutter="0" w:footer="0" w:header="0"/>
        </w:sectPr>
      </w:pPr>
    </w:p>
    <w:bookmarkStart w:id="144" w:name="page145"/>
    <w:bookmarkEnd w:id="144"/>
    <w:p>
      <w:pPr>
        <w:spacing w:after="0"/>
        <w:tabs>
          <w:tab w:leader="none" w:pos="5440" w:val="left"/>
        </w:tabs>
        <w:rPr>
          <w:sz w:val="20"/>
          <w:szCs w:val="20"/>
          <w:color w:val="auto"/>
        </w:rPr>
      </w:pPr>
      <w:r>
        <w:rPr>
          <w:rFonts w:ascii="Times New Roman" w:cs="Times New Roman" w:eastAsia="Times New Roman" w:hAnsi="Times New Roman"/>
          <w:sz w:val="18"/>
          <w:szCs w:val="18"/>
          <w:b w:val="1"/>
          <w:bCs w:val="1"/>
          <w:u w:val="single" w:color="auto"/>
          <w:color w:val="auto"/>
        </w:rPr>
        <w:t>Delaware</w:t>
      </w:r>
      <w:r>
        <w:rPr>
          <w:sz w:val="20"/>
          <w:szCs w:val="20"/>
          <w:color w:val="auto"/>
        </w:rPr>
        <w:tab/>
      </w:r>
      <w:r>
        <w:rPr>
          <w:rFonts w:ascii="Times New Roman" w:cs="Times New Roman" w:eastAsia="Times New Roman" w:hAnsi="Times New Roman"/>
          <w:sz w:val="18"/>
          <w:szCs w:val="18"/>
          <w:b w:val="1"/>
          <w:bCs w:val="1"/>
          <w:u w:val="single" w:color="auto"/>
          <w:color w:val="auto"/>
        </w:rPr>
        <w:t>Singapore</w:t>
      </w:r>
    </w:p>
    <w:p>
      <w:pPr>
        <w:spacing w:after="0" w:line="121" w:lineRule="exact"/>
        <w:rPr>
          <w:sz w:val="20"/>
          <w:szCs w:val="20"/>
          <w:color w:val="auto"/>
        </w:rPr>
      </w:pPr>
    </w:p>
    <w:p>
      <w:pPr>
        <w:ind w:left="5460" w:right="20"/>
        <w:spacing w:after="0" w:line="252" w:lineRule="auto"/>
        <w:rPr>
          <w:sz w:val="20"/>
          <w:szCs w:val="20"/>
          <w:color w:val="auto"/>
        </w:rPr>
      </w:pPr>
      <w:r>
        <w:rPr>
          <w:rFonts w:ascii="Times New Roman" w:cs="Times New Roman" w:eastAsia="Times New Roman" w:hAnsi="Times New Roman"/>
          <w:sz w:val="18"/>
          <w:szCs w:val="18"/>
          <w:color w:val="auto"/>
        </w:rPr>
        <w:t>Subject to specified exceptions, the Singapore Companies Act prohibits a company (other than an exempt private company) from, among others, (i) making a loan or a quasi-loan to its directors or to directors of a related corporation, or giving a guarantee or security in connection with such a loan or quasi-loan, (ii) entering into a credit transaction as creditor for the benefit of its directors or the directors of a related corporation, or giving a guarantee or any security in connection with such a credit transaction, (iii) arranging an assignment to or assumption by us of any rights, obligations or liabilities under a transaction which, if it had been entered into by us, would have been a restricted transaction, and (iv) taking part in an arrangement under which another person enters into a transaction which, if entered into by us, would have been a restricted transaction and such person obtains a benefit from us or our related corporation pursuant thereto. Companies are also prohibited from entering into any of these transactions with the spouse or children (whether adopted or natural or step-children) of its directors.</w:t>
      </w:r>
    </w:p>
    <w:p>
      <w:pPr>
        <w:spacing w:after="0" w:line="88" w:lineRule="exact"/>
        <w:rPr>
          <w:sz w:val="20"/>
          <w:szCs w:val="20"/>
          <w:color w:val="auto"/>
        </w:rPr>
      </w:pPr>
    </w:p>
    <w:p>
      <w:pPr>
        <w:ind w:left="5460"/>
        <w:spacing w:after="0" w:line="253" w:lineRule="auto"/>
        <w:rPr>
          <w:sz w:val="20"/>
          <w:szCs w:val="20"/>
          <w:color w:val="auto"/>
        </w:rPr>
      </w:pPr>
      <w:r>
        <w:rPr>
          <w:rFonts w:ascii="Times New Roman" w:cs="Times New Roman" w:eastAsia="Times New Roman" w:hAnsi="Times New Roman"/>
          <w:sz w:val="18"/>
          <w:szCs w:val="18"/>
          <w:color w:val="auto"/>
        </w:rPr>
        <w:t>Subject to specified exceptions, the Singapore Companies Act prohibits a company (other than an exempt private company) from making a loan or a quasi-loan to another company or a limited liability partnership or entering into any guarantee or providing any security in connection with a loan or a quasi-loan made to another company or a limited liability partnership by a person other than the first-mentioned company, entering into a credit transaction as a creditor for the benefit of another company or a limited liability partnership, or entering into any guarantee or provide any security in connection with a credit transaction entered into by any person for the benefit of another company or a limited liability partnership if a director or directors of the first-mentioned company is or together are interested in 20% or more of the total voting power in the other company or the limited liability partnership (as the case may be).</w:t>
      </w:r>
    </w:p>
    <w:p>
      <w:pPr>
        <w:spacing w:after="0" w:line="79" w:lineRule="exact"/>
        <w:rPr>
          <w:sz w:val="20"/>
          <w:szCs w:val="20"/>
          <w:color w:val="auto"/>
        </w:rPr>
      </w:pPr>
    </w:p>
    <w:p>
      <w:pPr>
        <w:ind w:left="5460"/>
        <w:spacing w:after="0" w:line="252" w:lineRule="auto"/>
        <w:rPr>
          <w:sz w:val="20"/>
          <w:szCs w:val="20"/>
          <w:color w:val="auto"/>
        </w:rPr>
      </w:pPr>
      <w:r>
        <w:rPr>
          <w:rFonts w:ascii="Times New Roman" w:cs="Times New Roman" w:eastAsia="Times New Roman" w:hAnsi="Times New Roman"/>
          <w:sz w:val="18"/>
          <w:szCs w:val="18"/>
          <w:color w:val="auto"/>
        </w:rPr>
        <w:t>Such prohibition also applies to a loan or quasi-loan made by a company (other than an exempt private company), a credit transaction made by a company (other than an exempt private company) for the benefit of another company or limited liability partnership and a guarantee entered into or security provided by a company (other than an exempt private company) in connection with a loan or quasi-loan made by a person other than the first-mentioned company to another company or a limited liability partnership or with a credit transaction made for the benefit of another company or limited liability partnership entered into by a person other than the first-mentioned company, where such other company or limited liability partnership is incorporated or formed (as the case may be) outside Singapore, if a director or directors of the first-mentioned company (a) is or together are interested in 20% or more of the total voting power in the other company or limited liability partnership or (b) in a case where the other company does not have a share capital, exercises or together exercise control over the other company whether by reason of having the power to appoint directors or otherwise.</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The Singapore Companies Act also provides that an interest of a member of</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 director’s family (including spouse, son, adopted son, step-son, daughter,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adopted daughter and step-daughter) will be treated as an interest of the</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541655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the transaction.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Cumulative Voting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adopt in its bylaws that its directors shall be elected by cumulative voting. When directors are elected by cumulative voting, a stockholder has the number of votes equal to the number of shares held by such stockholder times the number of directors nominated for election. The stockholder may cast all of such votes for one director or among the directors in any proportion.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equivalent provisions in Singapore under the Singapore Companies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equivalent provisions in Singapore under the Singapore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1198880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20" w:space="440"/>
            <w:col w:w="4960"/>
          </w:cols>
          <w:pgMar w:left="420" w:top="765" w:right="105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333-208598, 333-221480, 333-228308, 333-233054, 333-234519, 333-243491, 333-243515, 333-259196, 333-260948, 333-268286, 333-275420, 333-275421, 333-283123, 333-283125, 333-291408, and 333-291409) on Form S-8 and (Nos. 333-233052 and 333-283122) on Form S-3 of our report dated February 26, 2026, with respect to the consolidated financial statements of Wave Life Sciences, Ltd. and the effectiveness of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B. Bolno, M.D., certify that:</w:t>
      </w:r>
    </w:p>
    <w:p>
      <w:pPr>
        <w:spacing w:after="0" w:line="117" w:lineRule="exact"/>
        <w:rPr>
          <w:sz w:val="20"/>
          <w:szCs w:val="20"/>
          <w:color w:val="auto"/>
        </w:rPr>
      </w:pPr>
    </w:p>
    <w:p>
      <w:pPr>
        <w:ind w:left="380" w:hanging="372"/>
        <w:spacing w:after="0"/>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Wave Life Sciences Ltd.;</w:t>
      </w:r>
    </w:p>
    <w:p>
      <w:pPr>
        <w:spacing w:after="0" w:line="117" w:lineRule="exact"/>
        <w:rPr>
          <w:rFonts w:ascii="Times New Roman" w:cs="Times New Roman" w:eastAsia="Times New Roman" w:hAnsi="Times New Roman"/>
          <w:sz w:val="18"/>
          <w:szCs w:val="18"/>
          <w:color w:val="auto"/>
        </w:rPr>
      </w:pPr>
    </w:p>
    <w:p>
      <w:pPr>
        <w:jc w:val="both"/>
        <w:ind w:left="380" w:right="360" w:hanging="372"/>
        <w:spacing w:after="0" w:line="266"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20" w:hanging="372"/>
        <w:spacing w:after="0" w:line="282"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80" w:right="340" w:hanging="372"/>
        <w:spacing w:after="0" w:line="266"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760" w:right="280" w:hanging="378"/>
        <w:spacing w:after="0" w:line="266" w:lineRule="auto"/>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560" w:hanging="378"/>
        <w:spacing w:after="0" w:line="266" w:lineRule="auto"/>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20" w:hanging="378"/>
        <w:spacing w:after="0" w:line="312" w:lineRule="auto"/>
        <w:tabs>
          <w:tab w:leader="none" w:pos="76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B. Bolno, M.D.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Moran, certify that:</w:t>
      </w:r>
    </w:p>
    <w:p>
      <w:pPr>
        <w:spacing w:after="0" w:line="117" w:lineRule="exact"/>
        <w:rPr>
          <w:sz w:val="20"/>
          <w:szCs w:val="20"/>
          <w:color w:val="auto"/>
        </w:rPr>
      </w:pPr>
    </w:p>
    <w:p>
      <w:pPr>
        <w:ind w:left="380" w:hanging="372"/>
        <w:spacing w:after="0"/>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Wave Life Sciences Ltd.;</w:t>
      </w:r>
    </w:p>
    <w:p>
      <w:pPr>
        <w:spacing w:after="0" w:line="117" w:lineRule="exact"/>
        <w:rPr>
          <w:rFonts w:ascii="Times New Roman" w:cs="Times New Roman" w:eastAsia="Times New Roman" w:hAnsi="Times New Roman"/>
          <w:sz w:val="18"/>
          <w:szCs w:val="18"/>
          <w:color w:val="auto"/>
        </w:rPr>
      </w:pPr>
    </w:p>
    <w:p>
      <w:pPr>
        <w:jc w:val="both"/>
        <w:ind w:left="380" w:right="360" w:hanging="372"/>
        <w:spacing w:after="0" w:line="266"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20" w:hanging="372"/>
        <w:spacing w:after="0" w:line="282"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80" w:right="340" w:hanging="372"/>
        <w:spacing w:after="0" w:line="266"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760" w:right="280" w:hanging="378"/>
        <w:spacing w:after="0" w:line="266" w:lineRule="auto"/>
        <w:tabs>
          <w:tab w:leader="none" w:pos="7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560" w:hanging="378"/>
        <w:spacing w:after="0" w:line="266" w:lineRule="auto"/>
        <w:tabs>
          <w:tab w:leader="none" w:pos="7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20" w:hanging="378"/>
        <w:spacing w:after="0" w:line="312" w:lineRule="auto"/>
        <w:tabs>
          <w:tab w:leader="none" w:pos="76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Kyle Moran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0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Wave Life Sciences Ltd., a Singapore corporation (the “Company”), does hereby certify, to such officer’s knowledge, that:</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Annual Report for the year ended December 31, 2025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2026</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8"/>
          <w:szCs w:val="18"/>
          <w:color w:val="auto"/>
        </w:rPr>
        <w:t>Paul B. Bolno, M.D.</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2026</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8"/>
          <w:szCs w:val="18"/>
          <w:color w:val="auto"/>
        </w:rPr>
        <w:t>Kyle Moran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0" w:name="page151"/>
    <w:bookmarkEnd w:id="1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1)"/>
      <w:numFmt w:val="decimal"/>
      <w:start w:val="328"/>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1)"/>
      <w:numFmt w:val="lowerRoman"/>
      <w:start w:val="2"/>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1)"/>
      <w:numFmt w:val="lowerRoman"/>
      <w:start w:val="2"/>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lowerLetter"/>
      <w:start w:val="1"/>
    </w:lvl>
    <w:lvl w:ilvl="1">
      <w:lvlJc w:val="left"/>
      <w:lvlText w:val="%2."/>
      <w:numFmt w:val="decimal"/>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1)"/>
      <w:numFmt w:val="lowerRoman"/>
      <w:start w:val="2"/>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9"/>
    </w:lvl>
  </w:abstractNum>
  <w:abstractNum w:abstractNumId="58">
    <w:nsid w:val="1F48EAA1"/>
    <w:multiLevelType w:val="hybridMultilevel"/>
    <w:lvl w:ilvl="0">
      <w:lvlJc w:val="left"/>
      <w:lvlText w:val="%1."/>
      <w:numFmt w:val="decimal"/>
      <w:start w:val="13"/>
    </w:lvl>
    <w:lvl w:ilvl="1">
      <w:lvlJc w:val="left"/>
      <w:lvlText w:val="•"/>
      <w:numFmt w:val="bullet"/>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1)"/>
      <w:numFmt w:val="lowerRoman"/>
      <w:start w:val="1"/>
    </w:lvl>
  </w:abstractNum>
  <w:abstractNum w:abstractNumId="64">
    <w:nsid w:val="5F5E7FD0"/>
    <w:multiLevelType w:val="hybridMultilevel"/>
    <w:lvl w:ilvl="0">
      <w:lvlJc w:val="left"/>
      <w:lvlText w:val="(%1)"/>
      <w:numFmt w:val="lowerRoman"/>
      <w:start w:val="2"/>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lowerRoman"/>
      <w:start w:val="4"/>
    </w:lvl>
  </w:abstractNum>
  <w:abstractNum w:abstractNumId="69">
    <w:nsid w:val="168E121F"/>
    <w:multiLevelType w:val="hybridMultilevel"/>
    <w:lvl w:ilvl="0">
      <w:lvlJc w:val="left"/>
      <w:lvlText w:val="(%1)"/>
      <w:numFmt w:val="lowerLetter"/>
      <w:start w:val="2"/>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73"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20" Type="http://schemas.openxmlformats.org/officeDocument/2006/relationships/image" Target="media/image175.png"/><Relationship Id="rId221" Type="http://schemas.openxmlformats.org/officeDocument/2006/relationships/image" Target="media/image176.png"/><Relationship Id="rId222"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281" Type="http://schemas.openxmlformats.org/officeDocument/2006/relationships/image" Target="media/image227.png"/><Relationship Id="rId282" Type="http://schemas.openxmlformats.org/officeDocument/2006/relationships/image" Target="media/image228.png"/><Relationship Id="rId283" Type="http://schemas.openxmlformats.org/officeDocument/2006/relationships/image" Target="media/image229.png"/><Relationship Id="rId284" Type="http://schemas.openxmlformats.org/officeDocument/2006/relationships/image" Target="media/image230.png"/><Relationship Id="rId285" Type="http://schemas.openxmlformats.org/officeDocument/2006/relationships/image" Target="media/image231.png"/><Relationship Id="rId286" Type="http://schemas.openxmlformats.org/officeDocument/2006/relationships/image" Target="media/image232.png"/><Relationship Id="rId287" Type="http://schemas.openxmlformats.org/officeDocument/2006/relationships/image" Target="media/image233.png"/><Relationship Id="rId288" Type="http://schemas.openxmlformats.org/officeDocument/2006/relationships/image" Target="media/image234.png"/><Relationship Id="rId289" Type="http://schemas.openxmlformats.org/officeDocument/2006/relationships/image" Target="media/image235.png"/><Relationship Id="rId290" Type="http://schemas.openxmlformats.org/officeDocument/2006/relationships/image" Target="media/image236.png"/><Relationship Id="rId291" Type="http://schemas.openxmlformats.org/officeDocument/2006/relationships/image" Target="media/image237.png"/><Relationship Id="rId292" Type="http://schemas.openxmlformats.org/officeDocument/2006/relationships/image" Target="media/image238.png"/><Relationship Id="rId293" Type="http://schemas.openxmlformats.org/officeDocument/2006/relationships/image" Target="media/image239.png"/><Relationship Id="rId294" Type="http://schemas.openxmlformats.org/officeDocument/2006/relationships/image" Target="media/image240.png"/><Relationship Id="rId295" Type="http://schemas.openxmlformats.org/officeDocument/2006/relationships/image" Target="media/image241.png"/><Relationship Id="rId296" Type="http://schemas.openxmlformats.org/officeDocument/2006/relationships/image" Target="media/image242.png"/><Relationship Id="rId297" Type="http://schemas.openxmlformats.org/officeDocument/2006/relationships/image" Target="media/image243.png"/><Relationship Id="rId298" Type="http://schemas.openxmlformats.org/officeDocument/2006/relationships/image" Target="media/image244.png"/><Relationship Id="rId299" Type="http://schemas.openxmlformats.org/officeDocument/2006/relationships/image" Target="media/image245.png"/><Relationship Id="rId300" Type="http://schemas.openxmlformats.org/officeDocument/2006/relationships/image" Target="media/image246.png"/><Relationship Id="rId301" Type="http://schemas.openxmlformats.org/officeDocument/2006/relationships/image" Target="media/image247.png"/><Relationship Id="rId302" Type="http://schemas.openxmlformats.org/officeDocument/2006/relationships/image" Target="media/image248.png"/><Relationship Id="rId303" Type="http://schemas.openxmlformats.org/officeDocument/2006/relationships/image" Target="media/image249.png"/><Relationship Id="rId304" Type="http://schemas.openxmlformats.org/officeDocument/2006/relationships/image" Target="media/image250.png"/><Relationship Id="rId305" Type="http://schemas.openxmlformats.org/officeDocument/2006/relationships/image" Target="media/image251.png"/><Relationship Id="rId306" Type="http://schemas.openxmlformats.org/officeDocument/2006/relationships/image" Target="media/image252.png"/><Relationship Id="rId307" Type="http://schemas.openxmlformats.org/officeDocument/2006/relationships/image" Target="media/image253.png"/><Relationship Id="rId308" Type="http://schemas.openxmlformats.org/officeDocument/2006/relationships/image" Target="media/image254.png"/><Relationship Id="rId309" Type="http://schemas.openxmlformats.org/officeDocument/2006/relationships/image" Target="media/image255.png"/><Relationship Id="rId310" Type="http://schemas.openxmlformats.org/officeDocument/2006/relationships/image" Target="media/image256.png"/><Relationship Id="rId311" Type="http://schemas.openxmlformats.org/officeDocument/2006/relationships/image" Target="media/image257.png"/><Relationship Id="rId312" Type="http://schemas.openxmlformats.org/officeDocument/2006/relationships/image" Target="media/image258.png"/><Relationship Id="rId313" Type="http://schemas.openxmlformats.org/officeDocument/2006/relationships/image" Target="media/image259.png"/><Relationship Id="rId314" Type="http://schemas.openxmlformats.org/officeDocument/2006/relationships/image" Target="media/image260.png"/><Relationship Id="rId315" Type="http://schemas.openxmlformats.org/officeDocument/2006/relationships/image" Target="media/image261.png"/><Relationship Id="rId316" Type="http://schemas.openxmlformats.org/officeDocument/2006/relationships/image" Target="media/image262.png"/><Relationship Id="rId317" Type="http://schemas.openxmlformats.org/officeDocument/2006/relationships/image" Target="media/image263.png"/><Relationship Id="rId318" Type="http://schemas.openxmlformats.org/officeDocument/2006/relationships/image" Target="media/image264.png"/><Relationship Id="rId319" Type="http://schemas.openxmlformats.org/officeDocument/2006/relationships/image" Target="media/image265.png"/><Relationship Id="rId320" Type="http://schemas.openxmlformats.org/officeDocument/2006/relationships/image" Target="media/image266.png"/><Relationship Id="rId321" Type="http://schemas.openxmlformats.org/officeDocument/2006/relationships/image" Target="media/image267.png"/><Relationship Id="rId322" Type="http://schemas.openxmlformats.org/officeDocument/2006/relationships/image" Target="media/image268.png"/><Relationship Id="rId323" Type="http://schemas.openxmlformats.org/officeDocument/2006/relationships/image" Target="media/image269.png"/><Relationship Id="rId324" Type="http://schemas.openxmlformats.org/officeDocument/2006/relationships/image" Target="media/image270.png"/><Relationship Id="rId325" Type="http://schemas.openxmlformats.org/officeDocument/2006/relationships/image" Target="media/image271.png"/><Relationship Id="rId326" Type="http://schemas.openxmlformats.org/officeDocument/2006/relationships/image" Target="media/image272.png"/><Relationship Id="rId327" Type="http://schemas.openxmlformats.org/officeDocument/2006/relationships/image" Target="media/image273.png"/><Relationship Id="rId328" Type="http://schemas.openxmlformats.org/officeDocument/2006/relationships/image" Target="media/image274.png"/><Relationship Id="rId329" Type="http://schemas.openxmlformats.org/officeDocument/2006/relationships/image" Target="media/image275.png"/><Relationship Id="rId330" Type="http://schemas.openxmlformats.org/officeDocument/2006/relationships/image" Target="media/image276.png"/><Relationship Id="rId331" Type="http://schemas.openxmlformats.org/officeDocument/2006/relationships/image" Target="media/image277.png"/><Relationship Id="rId332" Type="http://schemas.openxmlformats.org/officeDocument/2006/relationships/image" Target="media/image278.png"/><Relationship Id="rId333" Type="http://schemas.openxmlformats.org/officeDocument/2006/relationships/image" Target="media/image279.png"/><Relationship Id="rId334" Type="http://schemas.openxmlformats.org/officeDocument/2006/relationships/image" Target="media/image280.png"/><Relationship Id="rId335" Type="http://schemas.openxmlformats.org/officeDocument/2006/relationships/image" Target="media/image281.png"/><Relationship Id="rId336" Type="http://schemas.openxmlformats.org/officeDocument/2006/relationships/image" Target="media/image282.png"/><Relationship Id="rId337" Type="http://schemas.openxmlformats.org/officeDocument/2006/relationships/image" Target="media/image283.png"/><Relationship Id="rId338" Type="http://schemas.openxmlformats.org/officeDocument/2006/relationships/image" Target="media/image284.png"/><Relationship Id="rId339" Type="http://schemas.openxmlformats.org/officeDocument/2006/relationships/image" Target="media/image285.png"/><Relationship Id="rId340" Type="http://schemas.openxmlformats.org/officeDocument/2006/relationships/image" Target="media/image286.png"/><Relationship Id="rId341" Type="http://schemas.openxmlformats.org/officeDocument/2006/relationships/image" Target="media/image287.png"/><Relationship Id="rId342" Type="http://schemas.openxmlformats.org/officeDocument/2006/relationships/image" Target="media/image288.png"/><Relationship Id="rId343" Type="http://schemas.openxmlformats.org/officeDocument/2006/relationships/image" Target="media/image289.png"/><Relationship Id="rId344" Type="http://schemas.openxmlformats.org/officeDocument/2006/relationships/image" Target="media/image290.png"/><Relationship Id="rId345" Type="http://schemas.openxmlformats.org/officeDocument/2006/relationships/image" Target="media/image291.png"/><Relationship Id="rId346" Type="http://schemas.openxmlformats.org/officeDocument/2006/relationships/image" Target="media/image292.png"/><Relationship Id="rId347" Type="http://schemas.openxmlformats.org/officeDocument/2006/relationships/image" Target="media/image293.png"/><Relationship Id="rId348" Type="http://schemas.openxmlformats.org/officeDocument/2006/relationships/image" Target="media/image294.png"/><Relationship Id="rId349" Type="http://schemas.openxmlformats.org/officeDocument/2006/relationships/image" Target="media/image295.png"/><Relationship Id="rId350" Type="http://schemas.openxmlformats.org/officeDocument/2006/relationships/image" Target="media/image296.png"/><Relationship Id="rId351" Type="http://schemas.openxmlformats.org/officeDocument/2006/relationships/image" Target="media/image297.png"/><Relationship Id="rId352" Type="http://schemas.openxmlformats.org/officeDocument/2006/relationships/image" Target="media/image298.png"/><Relationship Id="rId353" Type="http://schemas.openxmlformats.org/officeDocument/2006/relationships/image" Target="media/image299.png"/><Relationship Id="rId354" Type="http://schemas.openxmlformats.org/officeDocument/2006/relationships/image" Target="media/image300.png"/><Relationship Id="rId355" Type="http://schemas.openxmlformats.org/officeDocument/2006/relationships/image" Target="media/image301.png"/><Relationship Id="rId356" Type="http://schemas.openxmlformats.org/officeDocument/2006/relationships/image" Target="media/image302.png"/><Relationship Id="rId357" Type="http://schemas.openxmlformats.org/officeDocument/2006/relationships/image" Target="media/image303.png"/><Relationship Id="rId358" Type="http://schemas.openxmlformats.org/officeDocument/2006/relationships/image" Target="media/image304.png"/><Relationship Id="rId359" Type="http://schemas.openxmlformats.org/officeDocument/2006/relationships/image" Target="media/image305.png"/><Relationship Id="rId360" Type="http://schemas.openxmlformats.org/officeDocument/2006/relationships/image" Target="media/image306.png"/><Relationship Id="rId361" Type="http://schemas.openxmlformats.org/officeDocument/2006/relationships/image" Target="media/image307.png"/><Relationship Id="rId362" Type="http://schemas.openxmlformats.org/officeDocument/2006/relationships/image" Target="media/image308.png"/><Relationship Id="rId363" Type="http://schemas.openxmlformats.org/officeDocument/2006/relationships/image" Target="media/image309.png"/><Relationship Id="rId364" Type="http://schemas.openxmlformats.org/officeDocument/2006/relationships/image" Target="media/image310.png"/><Relationship Id="rId365" Type="http://schemas.openxmlformats.org/officeDocument/2006/relationships/image" Target="media/image311.png"/><Relationship Id="rId366" Type="http://schemas.openxmlformats.org/officeDocument/2006/relationships/image" Target="media/image312.png"/><Relationship Id="rId367" Type="http://schemas.openxmlformats.org/officeDocument/2006/relationships/image" Target="media/image313.png"/><Relationship Id="rId368" Type="http://schemas.openxmlformats.org/officeDocument/2006/relationships/image" Target="media/image314.png"/><Relationship Id="rId369" Type="http://schemas.openxmlformats.org/officeDocument/2006/relationships/image" Target="media/image315.png"/><Relationship Id="rId370" Type="http://schemas.openxmlformats.org/officeDocument/2006/relationships/image" Target="media/image316.png"/><Relationship Id="rId371" Type="http://schemas.openxmlformats.org/officeDocument/2006/relationships/image" Target="media/image317.png"/><Relationship Id="rId372" Type="http://schemas.openxmlformats.org/officeDocument/2006/relationships/image" Target="media/image318.png"/><Relationship Id="rId373" Type="http://schemas.openxmlformats.org/officeDocument/2006/relationships/image" Target="media/image319.png"/><Relationship Id="rId374" Type="http://schemas.openxmlformats.org/officeDocument/2006/relationships/image" Target="media/image320.png"/><Relationship Id="rId375" Type="http://schemas.openxmlformats.org/officeDocument/2006/relationships/image" Target="media/image321.png"/><Relationship Id="rId376" Type="http://schemas.openxmlformats.org/officeDocument/2006/relationships/image" Target="media/image322.png"/><Relationship Id="rId377" Type="http://schemas.openxmlformats.org/officeDocument/2006/relationships/image" Target="media/image323.png"/><Relationship Id="rId378" Type="http://schemas.openxmlformats.org/officeDocument/2006/relationships/image" Target="media/image324.png"/><Relationship Id="rId379" Type="http://schemas.openxmlformats.org/officeDocument/2006/relationships/image" Target="media/image325.png"/><Relationship Id="rId380" Type="http://schemas.openxmlformats.org/officeDocument/2006/relationships/image" Target="media/image326.png"/><Relationship Id="rId381" Type="http://schemas.openxmlformats.org/officeDocument/2006/relationships/image" Target="media/image327.png"/><Relationship Id="rId382" Type="http://schemas.openxmlformats.org/officeDocument/2006/relationships/image" Target="media/image328.png"/><Relationship Id="rId383" Type="http://schemas.openxmlformats.org/officeDocument/2006/relationships/image" Target="media/image329.png"/><Relationship Id="rId384" Type="http://schemas.openxmlformats.org/officeDocument/2006/relationships/image" Target="media/image330.png"/><Relationship Id="rId385" Type="http://schemas.openxmlformats.org/officeDocument/2006/relationships/image" Target="media/image331.png"/><Relationship Id="rId386" Type="http://schemas.openxmlformats.org/officeDocument/2006/relationships/image" Target="media/image332.png"/><Relationship Id="rId387" Type="http://schemas.openxmlformats.org/officeDocument/2006/relationships/image" Target="media/image333.png"/><Relationship Id="rId388" Type="http://schemas.openxmlformats.org/officeDocument/2006/relationships/image" Target="media/image334.png"/><Relationship Id="rId389" Type="http://schemas.openxmlformats.org/officeDocument/2006/relationships/image" Target="media/image335.png"/><Relationship Id="rId390" Type="http://schemas.openxmlformats.org/officeDocument/2006/relationships/image" Target="media/image336.png"/><Relationship Id="rId391" Type="http://schemas.openxmlformats.org/officeDocument/2006/relationships/image" Target="media/image337.png"/><Relationship Id="rId392" Type="http://schemas.openxmlformats.org/officeDocument/2006/relationships/image" Target="media/image338.png"/><Relationship Id="rId393" Type="http://schemas.openxmlformats.org/officeDocument/2006/relationships/image" Target="media/image339.png"/><Relationship Id="rId394" Type="http://schemas.openxmlformats.org/officeDocument/2006/relationships/image" Target="media/image340.png"/><Relationship Id="rId395" Type="http://schemas.openxmlformats.org/officeDocument/2006/relationships/image" Target="media/image341.png"/><Relationship Id="rId396" Type="http://schemas.openxmlformats.org/officeDocument/2006/relationships/image" Target="media/image342.png"/><Relationship Id="rId397" Type="http://schemas.openxmlformats.org/officeDocument/2006/relationships/image" Target="media/image343.png"/><Relationship Id="rId398" Type="http://schemas.openxmlformats.org/officeDocument/2006/relationships/image" Target="media/image344.png"/><Relationship Id="rId399" Type="http://schemas.openxmlformats.org/officeDocument/2006/relationships/image" Target="media/image345.png"/><Relationship Id="rId400" Type="http://schemas.openxmlformats.org/officeDocument/2006/relationships/image" Target="media/image346.png"/><Relationship Id="rId401" Type="http://schemas.openxmlformats.org/officeDocument/2006/relationships/image" Target="media/image347.png"/><Relationship Id="rId402" Type="http://schemas.openxmlformats.org/officeDocument/2006/relationships/image" Target="media/image348.png"/><Relationship Id="rId403" Type="http://schemas.openxmlformats.org/officeDocument/2006/relationships/image" Target="media/image349.png"/><Relationship Id="rId404" Type="http://schemas.openxmlformats.org/officeDocument/2006/relationships/image" Target="media/image350.png"/><Relationship Id="rId405" Type="http://schemas.openxmlformats.org/officeDocument/2006/relationships/image" Target="media/image351.png"/><Relationship Id="rId406" Type="http://schemas.openxmlformats.org/officeDocument/2006/relationships/image" Target="media/image352.png"/><Relationship Id="rId407" Type="http://schemas.openxmlformats.org/officeDocument/2006/relationships/image" Target="media/image353.png"/><Relationship Id="rId408" Type="http://schemas.openxmlformats.org/officeDocument/2006/relationships/image" Target="media/image354.png"/><Relationship Id="rId409" Type="http://schemas.openxmlformats.org/officeDocument/2006/relationships/image" Target="media/image355.png"/><Relationship Id="rId410" Type="http://schemas.openxmlformats.org/officeDocument/2006/relationships/image" Target="media/image356.png"/><Relationship Id="rId411" Type="http://schemas.openxmlformats.org/officeDocument/2006/relationships/image" Target="media/image357.png"/><Relationship Id="rId412" Type="http://schemas.openxmlformats.org/officeDocument/2006/relationships/image" Target="media/image358.png"/><Relationship Id="rId413" Type="http://schemas.openxmlformats.org/officeDocument/2006/relationships/image" Target="media/image359.png"/><Relationship Id="rId414" Type="http://schemas.openxmlformats.org/officeDocument/2006/relationships/image" Target="media/image360.png"/><Relationship Id="rId415" Type="http://schemas.openxmlformats.org/officeDocument/2006/relationships/image" Target="media/image361.png"/><Relationship Id="rId416" Type="http://schemas.openxmlformats.org/officeDocument/2006/relationships/image" Target="media/image362.png"/><Relationship Id="rId417" Type="http://schemas.openxmlformats.org/officeDocument/2006/relationships/image" Target="media/image363.png"/><Relationship Id="rId418" Type="http://schemas.openxmlformats.org/officeDocument/2006/relationships/image" Target="media/image364.png"/><Relationship Id="rId419" Type="http://schemas.openxmlformats.org/officeDocument/2006/relationships/image" Target="media/image365.png"/><Relationship Id="rId420" Type="http://schemas.openxmlformats.org/officeDocument/2006/relationships/image" Target="media/image366.png"/><Relationship Id="rId421" Type="http://schemas.openxmlformats.org/officeDocument/2006/relationships/image" Target="media/image367.png"/><Relationship Id="rId422" Type="http://schemas.openxmlformats.org/officeDocument/2006/relationships/image" Target="media/image368.png"/><Relationship Id="rId423" Type="http://schemas.openxmlformats.org/officeDocument/2006/relationships/image" Target="media/image369.png"/><Relationship Id="rId424" Type="http://schemas.openxmlformats.org/officeDocument/2006/relationships/image" Target="media/image370.png"/><Relationship Id="rId425" Type="http://schemas.openxmlformats.org/officeDocument/2006/relationships/image" Target="media/image371.png"/><Relationship Id="rId426" Type="http://schemas.openxmlformats.org/officeDocument/2006/relationships/image" Target="media/image372.png"/><Relationship Id="rId427" Type="http://schemas.openxmlformats.org/officeDocument/2006/relationships/image" Target="media/image373.png"/><Relationship Id="rId428" Type="http://schemas.openxmlformats.org/officeDocument/2006/relationships/image" Target="media/image374.png"/><Relationship Id="rId429" Type="http://schemas.openxmlformats.org/officeDocument/2006/relationships/image" Target="media/image375.png"/><Relationship Id="rId430" Type="http://schemas.openxmlformats.org/officeDocument/2006/relationships/image" Target="media/image376.png"/><Relationship Id="rId431" Type="http://schemas.openxmlformats.org/officeDocument/2006/relationships/image" Target="media/image377.png"/><Relationship Id="rId432" Type="http://schemas.openxmlformats.org/officeDocument/2006/relationships/image" Target="media/image378.png"/><Relationship Id="rId433" Type="http://schemas.openxmlformats.org/officeDocument/2006/relationships/image" Target="media/image379.png"/><Relationship Id="rId434" Type="http://schemas.openxmlformats.org/officeDocument/2006/relationships/image" Target="media/image380.png"/><Relationship Id="rId435" Type="http://schemas.openxmlformats.org/officeDocument/2006/relationships/image" Target="media/image381.png"/><Relationship Id="rId436" Type="http://schemas.openxmlformats.org/officeDocument/2006/relationships/image" Target="media/image382.png"/><Relationship Id="rId437" Type="http://schemas.openxmlformats.org/officeDocument/2006/relationships/image" Target="media/image383.png"/><Relationship Id="rId438" Type="http://schemas.openxmlformats.org/officeDocument/2006/relationships/image" Target="media/image384.png"/><Relationship Id="rId439" Type="http://schemas.openxmlformats.org/officeDocument/2006/relationships/image" Target="media/image385.png"/><Relationship Id="rId440" Type="http://schemas.openxmlformats.org/officeDocument/2006/relationships/image" Target="media/image386.png"/><Relationship Id="rId441" Type="http://schemas.openxmlformats.org/officeDocument/2006/relationships/image" Target="media/image387.png"/><Relationship Id="rId442" Type="http://schemas.openxmlformats.org/officeDocument/2006/relationships/image" Target="media/image388.png"/><Relationship Id="rId443" Type="http://schemas.openxmlformats.org/officeDocument/2006/relationships/image" Target="media/image389.png"/><Relationship Id="rId444" Type="http://schemas.openxmlformats.org/officeDocument/2006/relationships/image" Target="media/image390.png"/><Relationship Id="rId445" Type="http://schemas.openxmlformats.org/officeDocument/2006/relationships/image" Target="media/image391.png"/><Relationship Id="rId446" Type="http://schemas.openxmlformats.org/officeDocument/2006/relationships/image" Target="media/image392.png"/><Relationship Id="rId447" Type="http://schemas.openxmlformats.org/officeDocument/2006/relationships/image" Target="media/image393.png"/><Relationship Id="rId448" Type="http://schemas.openxmlformats.org/officeDocument/2006/relationships/image" Target="media/image394.png"/><Relationship Id="rId449" Type="http://schemas.openxmlformats.org/officeDocument/2006/relationships/image" Target="media/image395.png"/><Relationship Id="rId450" Type="http://schemas.openxmlformats.org/officeDocument/2006/relationships/image" Target="media/image396.png"/><Relationship Id="rId451" Type="http://schemas.openxmlformats.org/officeDocument/2006/relationships/image" Target="media/image397.png"/><Relationship Id="rId452" Type="http://schemas.openxmlformats.org/officeDocument/2006/relationships/image" Target="media/image398.png"/><Relationship Id="rId453" Type="http://schemas.openxmlformats.org/officeDocument/2006/relationships/image" Target="media/image399.png"/><Relationship Id="rId454" Type="http://schemas.openxmlformats.org/officeDocument/2006/relationships/image" Target="media/image400.png"/><Relationship Id="rId455" Type="http://schemas.openxmlformats.org/officeDocument/2006/relationships/image" Target="media/image401.png"/><Relationship Id="rId456" Type="http://schemas.openxmlformats.org/officeDocument/2006/relationships/image" Target="media/image402.png"/><Relationship Id="rId457" Type="http://schemas.openxmlformats.org/officeDocument/2006/relationships/image" Target="media/image403.png"/><Relationship Id="rId458" Type="http://schemas.openxmlformats.org/officeDocument/2006/relationships/image" Target="media/image404.png"/><Relationship Id="rId459" Type="http://schemas.openxmlformats.org/officeDocument/2006/relationships/image" Target="media/image405.png"/><Relationship Id="rId460" Type="http://schemas.openxmlformats.org/officeDocument/2006/relationships/image" Target="media/image406.png"/><Relationship Id="rId461" Type="http://schemas.openxmlformats.org/officeDocument/2006/relationships/image" Target="media/image407.png"/><Relationship Id="rId462" Type="http://schemas.openxmlformats.org/officeDocument/2006/relationships/image" Target="media/image408.png"/><Relationship Id="rId463" Type="http://schemas.openxmlformats.org/officeDocument/2006/relationships/image" Target="media/image409.png"/><Relationship Id="rId464" Type="http://schemas.openxmlformats.org/officeDocument/2006/relationships/image" Target="media/image410.png"/><Relationship Id="rId465" Type="http://schemas.openxmlformats.org/officeDocument/2006/relationships/image" Target="media/image411.png"/><Relationship Id="rId466" Type="http://schemas.openxmlformats.org/officeDocument/2006/relationships/image" Target="media/image412.png"/><Relationship Id="rId467" Type="http://schemas.openxmlformats.org/officeDocument/2006/relationships/image" Target="media/image413.png"/><Relationship Id="rId468" Type="http://schemas.openxmlformats.org/officeDocument/2006/relationships/image" Target="media/image414.png"/><Relationship Id="rId469" Type="http://schemas.openxmlformats.org/officeDocument/2006/relationships/image" Target="media/image415.png"/><Relationship Id="rId470" Type="http://schemas.openxmlformats.org/officeDocument/2006/relationships/image" Target="media/image416.png"/><Relationship Id="rId471" Type="http://schemas.openxmlformats.org/officeDocument/2006/relationships/image" Target="media/image417.png"/><Relationship Id="rId472" Type="http://schemas.openxmlformats.org/officeDocument/2006/relationships/image" Target="media/image418.png"/><Relationship Id="rId473" Type="http://schemas.openxmlformats.org/officeDocument/2006/relationships/image" Target="media/image419.png"/><Relationship Id="rId474" Type="http://schemas.openxmlformats.org/officeDocument/2006/relationships/image" Target="media/image420.png"/><Relationship Id="rId475" Type="http://schemas.openxmlformats.org/officeDocument/2006/relationships/image" Target="media/image421.png"/><Relationship Id="rId476" Type="http://schemas.openxmlformats.org/officeDocument/2006/relationships/image" Target="media/image422.png"/><Relationship Id="rId477" Type="http://schemas.openxmlformats.org/officeDocument/2006/relationships/image" Target="media/image423.png"/><Relationship Id="rId478" Type="http://schemas.openxmlformats.org/officeDocument/2006/relationships/image" Target="media/image424.png"/><Relationship Id="rId479" Type="http://schemas.openxmlformats.org/officeDocument/2006/relationships/image" Target="media/image425.png"/><Relationship Id="rId480" Type="http://schemas.openxmlformats.org/officeDocument/2006/relationships/image" Target="media/image426.png"/><Relationship Id="rId481" Type="http://schemas.openxmlformats.org/officeDocument/2006/relationships/image" Target="media/image427.png"/><Relationship Id="rId482" Type="http://schemas.openxmlformats.org/officeDocument/2006/relationships/image" Target="media/image428.png"/><Relationship Id="rId483" Type="http://schemas.openxmlformats.org/officeDocument/2006/relationships/image" Target="media/image429.png"/><Relationship Id="rId484" Type="http://schemas.openxmlformats.org/officeDocument/2006/relationships/image" Target="media/image430.png"/><Relationship Id="rId485" Type="http://schemas.openxmlformats.org/officeDocument/2006/relationships/image" Target="media/image431.png"/><Relationship Id="rId486" Type="http://schemas.openxmlformats.org/officeDocument/2006/relationships/image" Target="media/image432.png"/><Relationship Id="rId487" Type="http://schemas.openxmlformats.org/officeDocument/2006/relationships/image" Target="media/image433.png"/><Relationship Id="rId488" Type="http://schemas.openxmlformats.org/officeDocument/2006/relationships/image" Target="media/image434.png"/><Relationship Id="rId489" Type="http://schemas.openxmlformats.org/officeDocument/2006/relationships/image" Target="media/image435.png"/><Relationship Id="rId147" Type="http://schemas.openxmlformats.org/officeDocument/2006/relationships/hyperlink" Target="https://www.sec.gov/Archives/edgar/data/1631574/000119312515372814/d42123dex32.htm" TargetMode="External"/><Relationship Id="rId148" Type="http://schemas.openxmlformats.org/officeDocument/2006/relationships/hyperlink" Target="https://www.sec.gov/Archives/edgar/data/1631574/000119312515370294/d42123dex41.htm" TargetMode="External"/><Relationship Id="rId149" Type="http://schemas.openxmlformats.org/officeDocument/2006/relationships/hyperlink" Target="https://www.sec.gov/Archives/edgar/data/1631574/000119312522173529/d364213dex41.htm" TargetMode="External"/><Relationship Id="rId150" Type="http://schemas.openxmlformats.org/officeDocument/2006/relationships/hyperlink" Target="https://www.sec.gov/Archives/edgar/data/1631574/000119312524227053/d817468dex41.htm" TargetMode="External"/><Relationship Id="rId151" Type="http://schemas.openxmlformats.org/officeDocument/2006/relationships/hyperlink" Target="https://www.sec.gov/Archives/edgar/data/1631574/000119312525314746/d88507dex41.htm" TargetMode="External"/><Relationship Id="rId152" Type="http://schemas.openxmlformats.org/officeDocument/2006/relationships/hyperlink" Target="https://www.sec.gov/Archives/edgar/data/1631574/000119312516682053/d207833dex102.htm" TargetMode="External"/><Relationship Id="rId153" Type="http://schemas.openxmlformats.org/officeDocument/2006/relationships/hyperlink" Target="https://www.sec.gov/Archives/edgar/data/1631574/000119312515341447/d42123dex107.htm" TargetMode="External"/><Relationship Id="rId154" Type="http://schemas.openxmlformats.org/officeDocument/2006/relationships/hyperlink" Target="https://www.sec.gov/Archives/edgar/data/1631574/000156459021010718/wve-ex1052_412.htm" TargetMode="External"/><Relationship Id="rId155" Type="http://schemas.openxmlformats.org/officeDocument/2006/relationships/hyperlink" Target="https://www.sec.gov/Archives/edgar/data/1631574/000095017022016653/wve-ex10_1.htm" TargetMode="External"/><Relationship Id="rId158" Type="http://schemas.openxmlformats.org/officeDocument/2006/relationships/hyperlink" Target="https://www.sec.gov/Archives/edgar/data/1631574/000119312516720779/d261915dex101.htm" TargetMode="External"/><Relationship Id="rId159" Type="http://schemas.openxmlformats.org/officeDocument/2006/relationships/hyperlink" Target="https://www.sec.gov/Archives/edgar/data/1631574/000119312517004500/d287789dex101.htm" TargetMode="External"/><Relationship Id="rId160" Type="http://schemas.openxmlformats.org/officeDocument/2006/relationships/hyperlink" Target="https://www.sec.gov/Archives/edgar/data/1631574/000095017023009319/wve-ex10_3.htm" TargetMode="External"/><Relationship Id="rId161" Type="http://schemas.openxmlformats.org/officeDocument/2006/relationships/hyperlink" Target="https://www.sec.gov/Archives/edgar/data/1631574/000095017023009319/wve-ex10_4.htm" TargetMode="External"/><Relationship Id="rId162" Type="http://schemas.openxmlformats.org/officeDocument/2006/relationships/hyperlink" Target="https://www.sec.gov/Archives/edgar/data/1631574/000095017023009319/wve-ex10_5.htm" TargetMode="External"/><Relationship Id="rId163" Type="http://schemas.openxmlformats.org/officeDocument/2006/relationships/hyperlink" Target="https://www.sec.gov/Archives/edgar/data/1631574/000119312515341447/d42123dex1011.htm" TargetMode="External"/><Relationship Id="rId164" Type="http://schemas.openxmlformats.org/officeDocument/2006/relationships/hyperlink" Target="https://www.sec.gov/Archives/edgar/data/1631574/000156459020038620/wve-ex101_128.htm" TargetMode="External"/><Relationship Id="rId165" Type="http://schemas.openxmlformats.org/officeDocument/2006/relationships/hyperlink" Target="https://www.sec.gov/Archives/edgar/data/1631574/000156459020038620/wve-ex102_129.htm" TargetMode="External"/><Relationship Id="rId166" Type="http://schemas.openxmlformats.org/officeDocument/2006/relationships/hyperlink" Target="https://www.sec.gov/Archives/edgar/data/1631574/000095017023009319/wve-ex10_12.htm" TargetMode="External"/><Relationship Id="rId167" Type="http://schemas.openxmlformats.org/officeDocument/2006/relationships/hyperlink" Target="https://www.sec.gov/Archives/edgar/data/1631574/000156459021010718/wve-ex1015_410.htm" TargetMode="External"/><Relationship Id="rId168" Type="http://schemas.openxmlformats.org/officeDocument/2006/relationships/hyperlink" Target="https://www.sec.gov/Archives/edgar/data/1631574/000119312525273288/wve-ex10_1.htm" TargetMode="External"/><Relationship Id="rId169" Type="http://schemas.openxmlformats.org/officeDocument/2006/relationships/hyperlink" Target="https://www.sec.gov/Archives/edgar/data/1631574/000156459017023225/wve-ex101_97.htm" TargetMode="External"/><Relationship Id="rId170" Type="http://schemas.openxmlformats.org/officeDocument/2006/relationships/hyperlink" Target="https://www.sec.gov/Archives/edgar/data/1631574/000119312525178083/d35789dex101.htm" TargetMode="External"/><Relationship Id="rId171" Type="http://schemas.openxmlformats.org/officeDocument/2006/relationships/hyperlink" Target="https://www.sec.gov/Archives/edgar/data/1631574/000119312523205066/d539015dex102.htm" TargetMode="External"/><Relationship Id="rId172" Type="http://schemas.openxmlformats.org/officeDocument/2006/relationships/hyperlink" Target="https://www.sec.gov/Archives/edgar/data/1631574/000156459017023225/wve-ex102_96.htm" TargetMode="External"/><Relationship Id="rId174" Type="http://schemas.openxmlformats.org/officeDocument/2006/relationships/hyperlink" Target="https://www.sec.gov/Archives/edgar/data/1631574/000156459019005671/wve-ex10233_556.htm" TargetMode="External"/><Relationship Id="rId177" Type="http://schemas.openxmlformats.org/officeDocument/2006/relationships/hyperlink" Target="https://www.sec.gov/Archives/edgar/data/1631574/000156459021055927/wve-ex103_161.htm" TargetMode="External"/><Relationship Id="rId180" Type="http://schemas.openxmlformats.org/officeDocument/2006/relationships/hyperlink" Target="https://www.sec.gov/Archives/edgar/data/1631574/000119312515406386/d38525dex101.htm" TargetMode="External"/><Relationship Id="rId183" Type="http://schemas.openxmlformats.org/officeDocument/2006/relationships/hyperlink" Target="https://www.sec.gov/Archives/edgar/data/1631574/000156459017023225/wve-ex103_95.htm" TargetMode="External"/><Relationship Id="rId186" Type="http://schemas.openxmlformats.org/officeDocument/2006/relationships/hyperlink" Target="https://www.sec.gov/Archives/edgar/data/1631574/000156459017023225/wve-ex104_94.htm" TargetMode="External"/><Relationship Id="rId189" Type="http://schemas.openxmlformats.org/officeDocument/2006/relationships/hyperlink" Target="https://www.sec.gov/Archives/edgar/data/1631574/000156459019005671/wve-ex10252_555.htm" TargetMode="External"/><Relationship Id="rId192" Type="http://schemas.openxmlformats.org/officeDocument/2006/relationships/hyperlink" Target="https://www.sec.gov/Archives/edgar/data/1631574/000156459019018521/wve-ex101_353.htm" TargetMode="External"/><Relationship Id="rId196" Type="http://schemas.openxmlformats.org/officeDocument/2006/relationships/hyperlink" Target="https://www.sec.gov/Archives/edgar/data/1631574/000156459021055927/wve-ex104_160.htm" TargetMode="External"/><Relationship Id="rId199" Type="http://schemas.openxmlformats.org/officeDocument/2006/relationships/hyperlink" Target="https://www.sec.gov/Archives/edgar/data/1631574/000156459021027223/wve-ex102_80.htm" TargetMode="External"/><Relationship Id="rId203" Type="http://schemas.openxmlformats.org/officeDocument/2006/relationships/hyperlink" Target="https://www.sec.gov/Archives/edgar/data/1631574/000156459021027223/wve-ex103_79.htm" TargetMode="External"/><Relationship Id="rId207" Type="http://schemas.openxmlformats.org/officeDocument/2006/relationships/hyperlink" Target="https://www.sec.gov/Archives/edgar/data/1631574/000156459017023225/wve-ex105_318.htm" TargetMode="External"/><Relationship Id="rId211" Type="http://schemas.openxmlformats.org/officeDocument/2006/relationships/hyperlink" Target="https://www.sec.gov/Archives/edgar/data/1631574/000156459019005671/wve-ex10262_554.htm" TargetMode="External"/><Relationship Id="rId215" Type="http://schemas.openxmlformats.org/officeDocument/2006/relationships/hyperlink" Target="https://www.sec.gov/Archives/edgar/data/1631574/000156459021055927/wve-ex105_158.htm" TargetMode="External"/><Relationship Id="rId219" Type="http://schemas.openxmlformats.org/officeDocument/2006/relationships/hyperlink" Target="https://www.sec.gov/Archives/edgar/data/1631574/000156459021055927/wve-ex106_159.htm" TargetMode="External"/><Relationship Id="rId223" Type="http://schemas.openxmlformats.org/officeDocument/2006/relationships/hyperlink" Target="https://www.sec.gov/Archives/edgar/data/1631574/000095017024093341/wve-ex10_1.htm" TargetMode="External"/><Relationship Id="rId226" Type="http://schemas.openxmlformats.org/officeDocument/2006/relationships/hyperlink" Target="https://www.sec.gov/Archives/edgar/data/1631574/000095017024093341/wve-ex10_2.htm" TargetMode="External"/><Relationship Id="rId229" Type="http://schemas.openxmlformats.org/officeDocument/2006/relationships/hyperlink" Target="https://www.sec.gov/Archives/edgar/data/1631574/000119312519144278/d711178dex12.htm" TargetMode="External"/><Relationship Id="rId233" Type="http://schemas.openxmlformats.org/officeDocument/2006/relationships/hyperlink" Target="https://www.sec.gov/Archives/edgar/data/1631574/000119312520057766/d793630dex13.htm" TargetMode="External"/><Relationship Id="rId234" Type="http://schemas.openxmlformats.org/officeDocument/2006/relationships/hyperlink" Target="https://www.sec.gov/Archives/edgar/data/1631574/000119312522064309/d307023dex101.htm" TargetMode="External"/><Relationship Id="rId235" Type="http://schemas.openxmlformats.org/officeDocument/2006/relationships/hyperlink" Target="https://www.sec.gov/Archives/edgar/data/1631574/000095017024124595/wve-ex10_1.htm" TargetMode="External"/><Relationship Id="rId236" Type="http://schemas.openxmlformats.org/officeDocument/2006/relationships/hyperlink" Target="https://www.sec.gov/Archives/edgar/data/1631574/000095017025031322/wve-ex19_1.htm" TargetMode="External"/><Relationship Id="rId237" Type="http://schemas.openxmlformats.org/officeDocument/2006/relationships/hyperlink" Target="https://www.sec.gov/Archives/edgar/data/1631574/000156459018005308/wve-ex211_10.htm" TargetMode="External"/><Relationship Id="rId238" Type="http://schemas.openxmlformats.org/officeDocument/2006/relationships/hyperlink" Target="https://www.sec.gov/Archives/edgar/data/1631574/000095017024026876/wve-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2026-02-26T06:59:28Z</dcterms:created>
  <dcterms:modified xsi:type="dcterms:W3CDTF">2026-02-26T06:59:28Z</dcterms:modified>
</cp:coreProperties>
</file>