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Verdine Gregory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WAVE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733 CONCORD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969"/>
        <w:gridCol w:w="450"/>
        <w:gridCol w:w="612"/>
        <w:gridCol w:w="1156"/>
        <w:gridCol w:w="992"/>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10,700</w:t>
            </w:r>
            <w:r>
              <w:rPr>
                <w:rFonts w:ascii="Times;serif" w:hAnsi="Times;serif"/>
                <w:color w:val="008000"/>
                <w:position w:val="7"/>
                <w:sz w:val="16"/>
                <w:sz w:val="20"/>
                <w:shd w:fill="FFFFFF" w:val="clear"/>
              </w:rPr>
              <w:t>(1)</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200,917</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this restricted stock unit award (RSU) pursuant to the 2026 Non-Employee Director Compensation Policy. The RSU vests as to 100% of the shares on the earlier of the Company's 2027 annual meeting of stockholders or October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shares of common stock held in a trust by Lynet Holdings LLC. The reporting person is the sole manager of Lynet Holdings LLC and the settlor of the trust and may be deemed to have shared voting and investment power over the shares. The reporting person disclaims beneficial ownership of the shares held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granted this option pursuant to the 2026 Non-Employee Director Compensation Policy. The option vests as to 100% of the shares on the earlier of the Company's 2027 annual meeting of stockholders or October 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August 7, 2026, Wave Life Sciences, Inc., a Delaware corporation, became the successor of Wave Life Sciences Ltd., a company organized under the laws of the Republic of Singapore ("Wave-Singapore"), pursuant to a scheme of arrangement under Singapore law under which all issued ordinary shares in the capital of Wave-Singapore were exchanged on a one-for-one basis for shares of common stock of Wave Life Sciences, Inc. (the "Redomiciliation"). The Redomiciliation had the effect of changing Wave-Singapore's domicile, but did not alter the proportionate interests of securityholders.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L. Verdine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wve-ex24_1.htm"/>
      <w:bookmarkStart w:id="3" w:name="kswve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Know all by these presents, that the undersigned hereby constitutes and appoints Linda Rockett, Paul B. Bolno and Lindsay Levine of Wave Life Sciences, Inc. (the “Company”) and John T. Rudy, Esq., Nishant M. Dharia, Esq., Samantha M. Silver, Esq., Patricia Garza Gonzalez, Esq., Maura Foley, Robyn Frattali, Erber Hernandez, Autumn Mays and Christopher Brown of Mintz, Levin, Cohn, Ferris, Glovsky and Popeo, P.C., signing singly, with full power of substitution, the undersigned's true and lawful attorney-in-fact to: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forms and authentication documents;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shareholder of the Company, Forms 3, 4 and 5 in accordance with Section 16(a) of the Exchange Act and the rules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this 4 day of August, 2026.</w:t>
      </w:r>
    </w:p>
    <w:p>
      <w:pPr>
        <w:pStyle w:val="TextBody"/>
        <w:bidi w:val="0"/>
        <w:jc w:val="left"/>
        <w:rPr/>
      </w:pPr>
      <w:r>
        <w:rPr/>
        <w:t> </w:t>
      </w:r>
    </w:p>
    <w:tbl>
      <w:tblPr>
        <w:tblW w:w="2573" w:type="dxa"/>
        <w:jc w:val="left"/>
        <w:tblInd w:w="0" w:type="dxa"/>
        <w:tblLayout w:type="fixed"/>
        <w:tblCellMar>
          <w:top w:w="28" w:type="dxa"/>
          <w:left w:w="28" w:type="dxa"/>
          <w:bottom w:w="28" w:type="dxa"/>
          <w:right w:w="28" w:type="dxa"/>
        </w:tblCellMar>
      </w:tblPr>
      <w:tblGrid>
        <w:gridCol w:w="161"/>
        <w:gridCol w:w="22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Gregory L. Verdine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03" w:type="dxa"/>
        <w:jc w:val="left"/>
        <w:tblInd w:w="0" w:type="dxa"/>
        <w:tblLayout w:type="fixed"/>
        <w:tblCellMar>
          <w:top w:w="28" w:type="dxa"/>
          <w:left w:w="28" w:type="dxa"/>
          <w:bottom w:w="28" w:type="dxa"/>
          <w:right w:w="28" w:type="dxa"/>
        </w:tblCellMar>
      </w:tblPr>
      <w:tblGrid>
        <w:gridCol w:w="161"/>
        <w:gridCol w:w="195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Gregory L. Verdine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2315"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1654</Words>
  <Characters>8906</Characters>
  <CharactersWithSpaces>10474</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