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82026_011038.xml.htm"/>
      <w:bookmarkStart w:id="1" w:name="ksform410082026_01103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 CAPITAL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Wave Life Sciences, Inc.</w:t>
              </w:r>
            </w:hyperlink>
            <w:r>
              <w:rPr/>
              <w:t xml:space="preserve"> [ </w:t>
            </w:r>
            <w:r>
              <w:rPr>
                <w:rFonts w:ascii="Times;serif" w:hAnsi="Times;serif"/>
                <w:color w:val="0000FF"/>
                <w:sz w:val="24"/>
                <w:shd w:fill="FFFFFF" w:val="clear"/>
              </w:rPr>
              <w:t>WVE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90"/>
        <w:gridCol w:w="901"/>
        <w:gridCol w:w="772"/>
        <w:gridCol w:w="598"/>
        <w:gridCol w:w="341"/>
        <w:gridCol w:w="957"/>
        <w:gridCol w:w="436"/>
        <w:gridCol w:w="598"/>
        <w:gridCol w:w="1344"/>
        <w:gridCol w:w="974"/>
        <w:gridCol w:w="109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10,700</w:t>
            </w:r>
            <w:r>
              <w:rPr>
                <w:rFonts w:ascii="Times;serif" w:hAnsi="Times;serif"/>
                <w:color w:val="008000"/>
                <w:position w:val="7"/>
                <w:sz w:val="16"/>
                <w:sz w:val="20"/>
                <w:shd w:fill="FFFFFF" w:val="clear"/>
              </w:rPr>
              <w:t>(1)</w:t>
            </w:r>
          </w:p>
        </w:tc>
        <w:tc>
          <w:tcPr>
            <w:tcW w:w="4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39,515</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p>
        </w:tc>
      </w:tr>
      <w:tr>
        <w:trPr/>
        <w:tc>
          <w:tcPr>
            <w:tcW w:w="21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26,975,505</w:t>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w:t>
            </w:r>
          </w:p>
        </w:tc>
      </w:tr>
    </w:tbl>
    <w:tbl>
      <w:tblPr>
        <w:tblW w:w="1217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61"/>
        <w:gridCol w:w="801"/>
        <w:gridCol w:w="801"/>
        <w:gridCol w:w="936"/>
        <w:gridCol w:w="831"/>
        <w:gridCol w:w="1026"/>
      </w:tblGrid>
      <w:tr>
        <w:trPr>
          <w:tblHeader w:val="true"/>
        </w:trPr>
        <w:tc>
          <w:tcPr>
            <w:tcW w:w="1217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3.75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64,000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10/05/2036</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64,000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(2)(3)</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RA CAPITAL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RA Capital Healthcare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Kolchinsky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RA CAPITAL MANAGEMENT, L.P.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Shah Rajeev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RA CAPITAL MANAGEMENT, L.P.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Dr. Kolchinsky was granted this restricted stock unit award (RSU) pursuant to the 2026 Non-Employee Director Compensation Policy. The RSU vests as to 100% of the shares on the earlier of the Issuer's 2027 annual meeting of stockholders or October 5,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Dr. Kolchinsky is a Managing Partner of the Adviser who serves on the Issuer's board of directors. Under Dr. Kolchinsky's arrangement with the Adviser, Dr. Kolchinsky holds the RSUs and options for the benefit of the Fund. Dr. Kolchinsky is obligated to turn over to the Adviser any net cash or shares received upon settlement of the RSUs, or exercise of the options, as applicable, which will offset advisory fees owed by the Fund to the Adviser.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RA Capital Management, L.P. (the "Adviser") is the investment manager for RA Capital Healthcare Fund, L.P. (the "Fund"). The general partner of the Adviser is RA Capital Management GP, LLC (the "Adviser GP"), of which Dr. Peter Kolchinsky and Mr. Rajeev Shah are the managing members. Each of the Adviser, the Adviser GP, the Fund, Dr. Kolchinsky and Mr. Shah disclaims beneficial ownership of any of the reported securities, except to the extent of its or his respective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Held directly by the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Dr. Kolchinsky was granted this option pursuant to the 2026 Non-Employee Director Compensation Policy. The option vests as to 100% of the shares on the earlier of the Issuer's 2027 annual meeting of stockholders or October 5,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Dr. Peter Kolchinsky, a Managing Partner of the Adviser, serves on the Issuer's board of directors.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Kolchinsky, Manager of RA Capital Management,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Kolchinsky, Manager of RA Capital Healthcare Fund GP, LLC, the General Partner of RA Capital Healthcare Fund,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Kolchinsky, individually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Rajeev Shah, individually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46824" TargetMode="External"/><Relationship Id="rId5" Type="http://schemas.openxmlformats.org/officeDocument/2006/relationships/hyperlink" Target="http://www.sec.gov/cgi-bin/browse-edgar?action=getcompany&amp;CIK=000163157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346824" TargetMode="External"/><Relationship Id="rId10" Type="http://schemas.openxmlformats.org/officeDocument/2006/relationships/hyperlink" Target="http://www.sec.gov/cgi-bin/browse-edgar?action=getcompany&amp;CIK=0001315082" TargetMode="External"/><Relationship Id="rId11" Type="http://schemas.openxmlformats.org/officeDocument/2006/relationships/hyperlink" Target="http://www.sec.gov/cgi-bin/browse-edgar?action=getcompany&amp;CIK=0001384859" TargetMode="External"/><Relationship Id="rId12" Type="http://schemas.openxmlformats.org/officeDocument/2006/relationships/hyperlink" Target="http://www.sec.gov/cgi-bin/browse-edgar?action=getcompany&amp;CIK=0001619841"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1003</Words>
  <Characters>5379</Characters>
  <CharactersWithSpaces>6232</CharactersWithSpaces>
  <Paragraphs>179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