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Wagner Heidi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WAVE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733 CONCORD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5.97</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51,930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44,930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08/16/2026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exercise and sales reported in this Form 4 were effected pursuant to a Rule 10b5-1 trading plan adopted by the reporting person on March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Heidi L. Wagner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both"/>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4 day of August, 2026.</w:t>
      </w:r>
    </w:p>
    <w:p>
      <w:pPr>
        <w:pStyle w:val="TextBody"/>
        <w:bidi w:val="0"/>
        <w:jc w:val="left"/>
        <w:rPr/>
      </w:pPr>
      <w:r>
        <w:rPr/>
        <w:t> </w:t>
      </w:r>
    </w:p>
    <w:tbl>
      <w:tblPr>
        <w:tblW w:w="2288" w:type="dxa"/>
        <w:jc w:val="left"/>
        <w:tblInd w:w="0" w:type="dxa"/>
        <w:tblLayout w:type="fixed"/>
        <w:tblCellMar>
          <w:top w:w="28" w:type="dxa"/>
          <w:left w:w="28" w:type="dxa"/>
          <w:bottom w:w="28" w:type="dxa"/>
          <w:right w:w="28" w:type="dxa"/>
        </w:tblCellMar>
      </w:tblPr>
      <w:tblGrid>
        <w:gridCol w:w="161"/>
        <w:gridCol w:w="19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Heidi L. Wagner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Heidi L. Wagner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Print Name</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5029"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1544</Words>
  <Characters>8336</Characters>
  <CharactersWithSpaces>9798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