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520" w:right="240" w:hanging="512"/>
        <w:spacing w:after="0" w:line="262" w:lineRule="auto"/>
        <w:tabs>
          <w:tab w:leader="none" w:pos="47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1" w:lineRule="exact"/>
        <w:rPr>
          <w:sz w:val="24"/>
          <w:szCs w:val="24"/>
          <w:color w:val="auto"/>
        </w:rPr>
      </w:pPr>
    </w:p>
    <w:p>
      <w:pPr>
        <w:ind w:left="520" w:right="260" w:hanging="512"/>
        <w:spacing w:after="0" w:line="262" w:lineRule="auto"/>
        <w:tabs>
          <w:tab w:leader="none" w:pos="47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WAVE LIFE SCIENCES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660" w:type="dxa"/>
            <w:vAlign w:val="bottom"/>
            <w:gridSpan w:val="2"/>
          </w:tcPr>
          <w:p>
            <w:pPr>
              <w:jc w:val="center"/>
              <w:ind w:left="42"/>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2920" w:type="dxa"/>
            <w:vAlign w:val="bottom"/>
          </w:tcPr>
          <w:p>
            <w:pPr>
              <w:spacing w:after="0"/>
              <w:rPr>
                <w:sz w:val="18"/>
                <w:szCs w:val="18"/>
                <w:color w:val="auto"/>
              </w:rPr>
            </w:pPr>
          </w:p>
        </w:tc>
        <w:tc>
          <w:tcPr>
            <w:tcW w:w="3660" w:type="dxa"/>
            <w:vAlign w:val="bottom"/>
          </w:tcPr>
          <w:p>
            <w:pPr>
              <w:jc w:val="right"/>
              <w:ind w:right="1445"/>
              <w:spacing w:after="0"/>
              <w:rPr>
                <w:sz w:val="20"/>
                <w:szCs w:val="20"/>
                <w:color w:val="auto"/>
              </w:rPr>
            </w:pPr>
            <w:r>
              <w:rPr>
                <w:rFonts w:ascii="Times New Roman" w:cs="Times New Roman" w:eastAsia="Times New Roman" w:hAnsi="Times New Roman"/>
                <w:sz w:val="18"/>
                <w:szCs w:val="18"/>
                <w:b w:val="1"/>
                <w:bCs w:val="1"/>
                <w:color w:val="auto"/>
              </w:rPr>
              <w:t>98-1356880</w:t>
            </w:r>
          </w:p>
        </w:tc>
      </w:tr>
      <w:tr>
        <w:trPr>
          <w:trHeight w:val="190"/>
        </w:trPr>
        <w:tc>
          <w:tcPr>
            <w:tcW w:w="466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920" w:type="dxa"/>
            <w:vAlign w:val="bottom"/>
          </w:tcPr>
          <w:p>
            <w:pPr>
              <w:spacing w:after="0"/>
              <w:rPr>
                <w:sz w:val="16"/>
                <w:szCs w:val="16"/>
                <w:color w:val="auto"/>
              </w:rPr>
            </w:pPr>
          </w:p>
        </w:tc>
        <w:tc>
          <w:tcPr>
            <w:tcW w:w="36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98"/>
        </w:trPr>
        <w:tc>
          <w:tcPr>
            <w:tcW w:w="4660" w:type="dxa"/>
            <w:vAlign w:val="bottom"/>
            <w:gridSpan w:val="2"/>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9"/>
              </w:rPr>
              <w:t>7 Straits View #12-00, Marina One East Tower</w:t>
            </w:r>
          </w:p>
        </w:tc>
        <w:tc>
          <w:tcPr>
            <w:tcW w:w="29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4"/>
        </w:trPr>
        <w:tc>
          <w:tcPr>
            <w:tcW w:w="4660" w:type="dxa"/>
            <w:vAlign w:val="bottom"/>
            <w:gridSpan w:val="2"/>
          </w:tcPr>
          <w:p>
            <w:pPr>
              <w:jc w:val="center"/>
              <w:ind w:left="42"/>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2920" w:type="dxa"/>
            <w:vAlign w:val="bottom"/>
          </w:tcPr>
          <w:p>
            <w:pPr>
              <w:spacing w:after="0"/>
              <w:rPr>
                <w:sz w:val="18"/>
                <w:szCs w:val="18"/>
                <w:color w:val="auto"/>
              </w:rPr>
            </w:pPr>
          </w:p>
        </w:tc>
        <w:tc>
          <w:tcPr>
            <w:tcW w:w="3660" w:type="dxa"/>
            <w:vAlign w:val="bottom"/>
          </w:tcPr>
          <w:p>
            <w:pPr>
              <w:jc w:val="right"/>
              <w:ind w:right="1625"/>
              <w:spacing w:after="0"/>
              <w:rPr>
                <w:sz w:val="20"/>
                <w:szCs w:val="20"/>
                <w:color w:val="auto"/>
              </w:rPr>
            </w:pPr>
            <w:r>
              <w:rPr>
                <w:rFonts w:ascii="Times New Roman" w:cs="Times New Roman" w:eastAsia="Times New Roman" w:hAnsi="Times New Roman"/>
                <w:sz w:val="18"/>
                <w:szCs w:val="18"/>
                <w:b w:val="1"/>
                <w:bCs w:val="1"/>
                <w:color w:val="auto"/>
              </w:rPr>
              <w:t>018936</w:t>
            </w:r>
          </w:p>
        </w:tc>
      </w:tr>
      <w:tr>
        <w:trPr>
          <w:trHeight w:val="190"/>
        </w:trPr>
        <w:tc>
          <w:tcPr>
            <w:tcW w:w="466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spacing w:after="0"/>
              <w:rPr>
                <w:sz w:val="16"/>
                <w:szCs w:val="16"/>
                <w:color w:val="auto"/>
              </w:rPr>
            </w:pPr>
          </w:p>
        </w:tc>
        <w:tc>
          <w:tcPr>
            <w:tcW w:w="366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20" w:type="dxa"/>
            <w:vAlign w:val="bottom"/>
          </w:tcPr>
          <w:p>
            <w:pPr>
              <w:jc w:val="right"/>
              <w:ind w:right="1327"/>
              <w:spacing w:after="0"/>
              <w:rPr>
                <w:sz w:val="20"/>
                <w:szCs w:val="20"/>
                <w:color w:val="auto"/>
              </w:rPr>
            </w:pPr>
            <w:r>
              <w:rPr>
                <w:rFonts w:ascii="Times New Roman" w:cs="Times New Roman" w:eastAsia="Times New Roman" w:hAnsi="Times New Roman"/>
                <w:sz w:val="18"/>
                <w:szCs w:val="18"/>
                <w:b w:val="1"/>
                <w:bCs w:val="1"/>
                <w:color w:val="auto"/>
              </w:rPr>
              <w:t>+65 6236 3388</w:t>
            </w:r>
          </w:p>
        </w:tc>
        <w:tc>
          <w:tcPr>
            <w:tcW w:w="3660" w:type="dxa"/>
            <w:vAlign w:val="bottom"/>
          </w:tcPr>
          <w:p>
            <w:pPr>
              <w:spacing w:after="0"/>
              <w:rPr>
                <w:sz w:val="24"/>
                <w:szCs w:val="24"/>
                <w:color w:val="auto"/>
              </w:rPr>
            </w:pPr>
          </w:p>
        </w:tc>
      </w:tr>
      <w:tr>
        <w:trPr>
          <w:trHeight w:val="190"/>
        </w:trPr>
        <w:tc>
          <w:tcPr>
            <w:tcW w:w="3900" w:type="dxa"/>
            <w:vAlign w:val="bottom"/>
          </w:tcPr>
          <w:p>
            <w:pPr>
              <w:spacing w:after="0"/>
              <w:rPr>
                <w:sz w:val="16"/>
                <w:szCs w:val="16"/>
                <w:color w:val="auto"/>
              </w:rPr>
            </w:pPr>
          </w:p>
        </w:tc>
        <w:tc>
          <w:tcPr>
            <w:tcW w:w="3680" w:type="dxa"/>
            <w:vAlign w:val="bottom"/>
            <w:gridSpan w:val="2"/>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60" w:type="dxa"/>
            <w:vAlign w:val="bottom"/>
          </w:tcPr>
          <w:p>
            <w:pPr>
              <w:spacing w:after="0"/>
              <w:rPr>
                <w:sz w:val="16"/>
                <w:szCs w:val="16"/>
                <w:color w:val="auto"/>
              </w:rPr>
            </w:pPr>
          </w:p>
        </w:tc>
      </w:tr>
      <w:tr>
        <w:trPr>
          <w:trHeight w:val="301"/>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9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64"/>
        </w:trPr>
        <w:tc>
          <w:tcPr>
            <w:tcW w:w="39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r>
      <w:tr>
        <w:trPr>
          <w:trHeight w:val="122"/>
        </w:trPr>
        <w:tc>
          <w:tcPr>
            <w:tcW w:w="3900" w:type="dxa"/>
            <w:vAlign w:val="bottom"/>
            <w:tcBorders>
              <w:left w:val="single" w:sz="8" w:color="auto"/>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76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jc w:val="center"/>
              <w:ind w:right="707"/>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w:t>
            </w:r>
          </w:p>
        </w:tc>
        <w:tc>
          <w:tcPr>
            <w:tcW w:w="3660" w:type="dxa"/>
            <w:vAlign w:val="bottom"/>
            <w:tcBorders>
              <w:bottom w:val="single" w:sz="8" w:color="auto"/>
              <w:right w:val="single" w:sz="8" w:color="auto"/>
            </w:tcBorders>
          </w:tcPr>
          <w:p>
            <w:pPr>
              <w:ind w:left="540"/>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25"/>
        </w:trPr>
        <w:tc>
          <w:tcPr>
            <w:tcW w:w="390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$0 Par Value Ordinary Shares</w:t>
            </w:r>
          </w:p>
        </w:tc>
        <w:tc>
          <w:tcPr>
            <w:tcW w:w="76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jc w:val="center"/>
              <w:ind w:right="707"/>
              <w:spacing w:after="0" w:line="125" w:lineRule="exact"/>
              <w:rPr>
                <w:sz w:val="20"/>
                <w:szCs w:val="20"/>
                <w:color w:val="auto"/>
              </w:rPr>
            </w:pPr>
            <w:r>
              <w:rPr>
                <w:rFonts w:ascii="Times New Roman" w:cs="Times New Roman" w:eastAsia="Times New Roman" w:hAnsi="Times New Roman"/>
                <w:sz w:val="14"/>
                <w:szCs w:val="14"/>
                <w:b w:val="1"/>
                <w:bCs w:val="1"/>
                <w:color w:val="auto"/>
              </w:rPr>
              <w:t>WVE</w:t>
            </w:r>
          </w:p>
        </w:tc>
        <w:tc>
          <w:tcPr>
            <w:tcW w:w="3660" w:type="dxa"/>
            <w:vAlign w:val="bottom"/>
            <w:tcBorders>
              <w:bottom w:val="single" w:sz="8" w:color="auto"/>
              <w:right w:val="single" w:sz="8" w:color="auto"/>
            </w:tcBorders>
          </w:tcPr>
          <w:p>
            <w:pPr>
              <w:ind w:left="980"/>
              <w:spacing w:after="0" w:line="125"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8"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64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outstanding ordinary shares of the registrant as of April 22, 2026 was 192,379,977.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280" w:type="dxa"/>
            <w:vAlign w:val="bottom"/>
            <w:tcBorders>
              <w:top w:val="single" w:sz="8" w:color="0000FF"/>
            </w:tcBorders>
          </w:tcPr>
          <w:p>
            <w:pPr>
              <w:spacing w:after="0"/>
              <w:rPr>
                <w:sz w:val="24"/>
                <w:szCs w:val="24"/>
                <w:color w:val="auto"/>
              </w:rPr>
            </w:pPr>
          </w:p>
        </w:tc>
        <w:tc>
          <w:tcPr>
            <w:tcW w:w="2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14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Series A Preferred Shares and Shareholders' Equity</w:t>
            </w:r>
          </w:p>
        </w:tc>
        <w:tc>
          <w:tcPr>
            <w:tcW w:w="318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120" w:type="dxa"/>
            <w:vAlign w:val="bottom"/>
            <w:tcBorders>
              <w:left w:val="single" w:sz="8" w:color="0000FF"/>
            </w:tcBorders>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280" w:type="dxa"/>
            <w:vAlign w:val="bottom"/>
            <w:tcBorders>
              <w:top w:val="single" w:sz="8" w:color="0000FF"/>
            </w:tcBorders>
          </w:tcPr>
          <w:p>
            <w:pPr>
              <w:spacing w:after="0"/>
              <w:rPr>
                <w:sz w:val="24"/>
                <w:szCs w:val="24"/>
                <w:color w:val="auto"/>
              </w:rPr>
            </w:pPr>
          </w:p>
        </w:tc>
        <w:tc>
          <w:tcPr>
            <w:tcW w:w="25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4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669"/>
        </w:trPr>
        <w:tc>
          <w:tcPr>
            <w:tcW w:w="280" w:type="dxa"/>
            <w:vAlign w:val="bottom"/>
          </w:tcPr>
          <w:p>
            <w:pPr>
              <w:spacing w:after="0"/>
              <w:rPr>
                <w:sz w:val="24"/>
                <w:szCs w:val="24"/>
                <w:color w:val="auto"/>
              </w:rPr>
            </w:pPr>
          </w:p>
        </w:tc>
        <w:tc>
          <w:tcPr>
            <w:tcW w:w="1140" w:type="dxa"/>
            <w:vAlign w:val="bottom"/>
            <w:tcBorders>
              <w:top w:val="single" w:sz="8" w:color="0000FF"/>
            </w:tcBorders>
            <w:gridSpan w:val="2"/>
          </w:tcPr>
          <w:p>
            <w:pPr>
              <w:spacing w:after="0"/>
              <w:rPr>
                <w:sz w:val="24"/>
                <w:szCs w:val="24"/>
                <w:color w:val="auto"/>
              </w:rPr>
            </w:pPr>
          </w:p>
        </w:tc>
        <w:tc>
          <w:tcPr>
            <w:tcW w:w="4660" w:type="dxa"/>
            <w:vAlign w:val="bottom"/>
            <w:gridSpan w:val="1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w:t>
      </w:r>
      <w:r>
        <w:rPr>
          <w:rFonts w:ascii="Times New Roman" w:cs="Times New Roman" w:eastAsia="Times New Roman" w:hAnsi="Times New Roman"/>
          <w:sz w:val="18"/>
          <w:szCs w:val="18"/>
          <w:color w:val="212529"/>
        </w:rPr>
        <w:t>our ability to fund our future operations; our financial position, revenues,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w:t>
      </w:r>
      <w:r>
        <w:rPr>
          <w:rFonts w:ascii="Times New Roman" w:cs="Times New Roman" w:eastAsia="Times New Roman" w:hAnsi="Times New Roman"/>
          <w:sz w:val="18"/>
          <w:szCs w:val="18"/>
          <w:color w:val="000000"/>
        </w:rPr>
        <w:t>our expectations regarding the impact of any local and global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health epidemics on our business, including our research and development activities, preclinical studies and clinical trials, supply of drug product, and workforce; and statements about the Redomiciliation (as defined below).</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212529"/>
        </w:rPr>
        <w:t xml:space="preserve">Although we believe that we have a reasonable basis for each forward-looking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w:t>
      </w:r>
      <w:r>
        <w:rPr>
          <w:rFonts w:ascii="Times New Roman" w:cs="Times New Roman" w:eastAsia="Times New Roman" w:hAnsi="Times New Roman"/>
          <w:sz w:val="18"/>
          <w:szCs w:val="18"/>
          <w:color w:val="000000"/>
        </w:rPr>
        <w:t>any impacts on our business as a result of or related to any local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global health epidemics, geopolitical conflicts, global economic uncertainty, the impact of tariffs and changes in economic policies, volatility in inflation, volatility in interest rates or market disruptions on our business; and our ability to obtain shareholder and Singapore Court approvals and satisfy other closing conditions to the completion of the Redomiciliation within the expected timeframe or at all, </w:t>
      </w:r>
      <w:r>
        <w:rPr>
          <w:rFonts w:ascii="Times New Roman" w:cs="Times New Roman" w:eastAsia="Times New Roman" w:hAnsi="Times New Roman"/>
          <w:sz w:val="18"/>
          <w:szCs w:val="18"/>
          <w:color w:val="212529"/>
        </w:rPr>
        <w:t>as well as other risks and uncertainties under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caption “Risk Factors” and any other disclosures contained in this Quarterly Report on Form 10-Q and in other filings we make with the Securities and Exchange Commission (the “SEC”).</w:t>
      </w:r>
    </w:p>
    <w:p>
      <w:pPr>
        <w:spacing w:after="0" w:line="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forward-looking statement contained in this report is based on a combination of facts and factors currently known by us and our expectations of the future, about which we cannot be certain. As a result of these factors, we cannot assure you that the forward-looking statements in this Quarterly Report on Form 10-Q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any forward-looking statement in this report represents our views only as of the date of this report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otherwise indicates, references to “Wave,” the “Company,” “we,” “our,” “us” or similar terms refer to Wave Life Sciences Ltd. and our wholly owned subsidiaries. The Wave Life Sciences Ltd. and Wave Life Sciences Pte. Ltd. names, the Wave Life Sciences mark, PRISM and the other registered and pending trademarks, trade names and service marks of Wave Life Sciences Ltd. appearing in this Quarterly Report on Form 10-Q are the property of Wave Life Sciences Ltd. This Quarterly Report on Form 10-Q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Quarterly Report on Form 10-Q are referred to without the ® and ™ symbols, but such reference should not be construed as any indicator that their respective owners will not assert, to the fullest extent under applicable law, their rights thereto.</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544,591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561,272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$50,352 and $49,522</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 of March 31, 2026 and December 31, 2025, respectively</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583,544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Series A preferred shares, and shareholders’ equity</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74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Series A preferred shares, no par value; nil and 3,901,348 shares</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20" w:type="dxa"/>
            <w:vAlign w:val="bottom"/>
            <w:vMerge w:val="continue"/>
            <w:shd w:val="clear" w:color="auto" w:fill="CFF0FC"/>
          </w:tcPr>
          <w:p>
            <w:pPr>
              <w:spacing w:after="0"/>
              <w:rPr>
                <w:sz w:val="20"/>
                <w:szCs w:val="20"/>
                <w:color w:val="auto"/>
              </w:rPr>
            </w:pPr>
          </w:p>
        </w:tc>
        <w:tc>
          <w:tcPr>
            <w:tcW w:w="1620" w:type="dxa"/>
            <w:vAlign w:val="bottom"/>
            <w:gridSpan w:val="2"/>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15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no par value; 192,337,566 and 187,660,263 shares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1,626,879</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1,616,478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(1,352,323)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(1,326,236)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511,730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liabilities, Series A preferred shares, and shareholders’ equity</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583,544</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638,499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-4285615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-4285615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-3308350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-3308350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-2167890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-2167890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-1602740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-1602740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-1182370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-1165225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-1182370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-1165225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38,246</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(31,298)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20" w:type="dxa"/>
            <w:vAlign w:val="bottom"/>
            <w:tcBorders>
              <w:top w:val="single" w:sz="8" w:color="CFF0FC"/>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(26,087)</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(26,087)</w:t>
            </w:r>
          </w:p>
        </w:tc>
        <w:tc>
          <w:tcPr>
            <w:tcW w:w="9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ordinary</w:t>
            </w:r>
          </w:p>
        </w:tc>
        <w:tc>
          <w:tcPr>
            <w:tcW w:w="2680" w:type="dxa"/>
            <w:vAlign w:val="bottom"/>
            <w:gridSpan w:val="2"/>
            <w:vMerge w:val="restart"/>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9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shareholders—basic and diluted</w:t>
            </w:r>
          </w:p>
        </w:tc>
        <w:tc>
          <w:tcPr>
            <w:tcW w:w="26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ordinary shares used in</w:t>
            </w:r>
          </w:p>
        </w:tc>
        <w:tc>
          <w:tcPr>
            <w:tcW w:w="14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computing net loss per share attributable to</w:t>
            </w: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200,167,869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162,572,026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ordinary shareholders—basic and diluted</w:t>
            </w:r>
          </w:p>
        </w:tc>
        <w:tc>
          <w:tcPr>
            <w:tcW w:w="14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(26,087)</w:t>
            </w:r>
          </w:p>
        </w:tc>
        <w:tc>
          <w:tcPr>
            <w:tcW w:w="9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(26,091)</w:t>
            </w:r>
          </w:p>
        </w:tc>
        <w:tc>
          <w:tcPr>
            <w:tcW w:w="9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-2999740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-2999740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-2433955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-2433955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-1868170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-1868170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-1293495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-1276350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-1293495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-1276350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-608330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-590550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-608330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-590550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6765925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SERIES A PREFERRED SHARES AND SHAREHOLDERS’ EQUITY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60" w:type="dxa"/>
            <w:vAlign w:val="bottom"/>
            <w:gridSpan w:val="3"/>
            <w:vMerge w:val="restart"/>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240" w:type="dxa"/>
            <w:vAlign w:val="bottom"/>
            <w:tcBorders>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8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380" w:type="dxa"/>
            <w:vAlign w:val="bottom"/>
            <w:tcBorders>
              <w:right w:val="single" w:sz="8" w:color="CFF0FC"/>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3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left w:val="single" w:sz="8" w:color="CFF0FC"/>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color w:val="auto"/>
              </w:rPr>
              <w:t>(1,121,85</w:t>
            </w:r>
          </w:p>
        </w:tc>
        <w:tc>
          <w:tcPr>
            <w:tcW w:w="16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3,901,348</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3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153,037,286</w:t>
            </w: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$ 1,175,181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156,454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the “at-the-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97,375</w:t>
            </w: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program, net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4,953</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18,019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exercises</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853,881</w:t>
            </w: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the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86,752</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(46,878)</w:t>
            </w:r>
          </w:p>
        </w:tc>
        <w:tc>
          <w:tcPr>
            <w:tcW w:w="0" w:type="dxa"/>
            <w:vAlign w:val="bottom"/>
          </w:tcPr>
          <w:p>
            <w:pPr>
              <w:spacing w:after="0"/>
              <w:rPr>
                <w:sz w:val="1"/>
                <w:szCs w:val="1"/>
                <w:color w:val="auto"/>
              </w:rPr>
            </w:pPr>
          </w:p>
        </w:tc>
      </w:tr>
      <w:tr>
        <w:trPr>
          <w:trHeight w:val="191"/>
        </w:trPr>
        <w:tc>
          <w:tcPr>
            <w:tcW w:w="2380" w:type="dxa"/>
            <w:vAlign w:val="bottom"/>
            <w:tcBorders>
              <w:right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3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left w:val="single" w:sz="8" w:color="CFF0FC"/>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(1,168,73</w:t>
            </w:r>
          </w:p>
        </w:tc>
        <w:tc>
          <w:tcPr>
            <w:tcW w:w="16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3,901,348</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300" w:type="dxa"/>
            <w:vAlign w:val="bottom"/>
            <w:tcBorders>
              <w:right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154,093,313</w:t>
            </w:r>
          </w:p>
        </w:tc>
        <w:tc>
          <w:tcPr>
            <w:tcW w:w="220" w:type="dxa"/>
            <w:vAlign w:val="bottom"/>
            <w:tcBorders>
              <w:right w:val="single" w:sz="8" w:color="CFF0FC"/>
            </w:tcBorders>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$ 1,179,336</w:t>
            </w:r>
          </w:p>
        </w:tc>
        <w:tc>
          <w:tcPr>
            <w:tcW w:w="22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161,407</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60" w:type="dxa"/>
            <w:vAlign w:val="bottom"/>
            <w:gridSpan w:val="3"/>
            <w:vMerge w:val="restart"/>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4"/>
              </w:rPr>
              <w:t>Comprehensi</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240" w:type="dxa"/>
            <w:vAlign w:val="bottom"/>
            <w:tcBorders>
              <w:right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8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ve</w:t>
            </w:r>
          </w:p>
        </w:tc>
        <w:tc>
          <w:tcPr>
            <w:tcW w:w="1080" w:type="dxa"/>
            <w:vAlign w:val="bottom"/>
            <w:gridSpan w:val="3"/>
            <w:vMerge w:val="continue"/>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Borders>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2380" w:type="dxa"/>
            <w:vAlign w:val="bottom"/>
            <w:tcBorders>
              <w:right w:val="single" w:sz="8" w:color="CFF0FC"/>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300" w:type="dxa"/>
            <w:vAlign w:val="bottom"/>
            <w:tcBorders>
              <w:right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left w:val="single" w:sz="8" w:color="CFF0FC"/>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color w:val="auto"/>
                <w:w w:val="95"/>
              </w:rPr>
              <w:t>(1,326,23</w:t>
            </w:r>
          </w:p>
        </w:tc>
        <w:tc>
          <w:tcPr>
            <w:tcW w:w="16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3,901,348</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3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187,660,263</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$ 1,616,478</w:t>
            </w:r>
          </w:p>
        </w:tc>
        <w:tc>
          <w:tcPr>
            <w:tcW w:w="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228,365</w:t>
            </w:r>
          </w:p>
        </w:tc>
        <w:tc>
          <w:tcPr>
            <w:tcW w:w="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to ordinary shares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(3,901,348)</w:t>
            </w:r>
          </w:p>
        </w:tc>
        <w:tc>
          <w:tcPr>
            <w:tcW w:w="1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(7,874)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3,901,348</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exercises</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442,967</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the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90,479</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(26,087)</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(26,087)</w:t>
            </w:r>
          </w:p>
        </w:tc>
        <w:tc>
          <w:tcPr>
            <w:tcW w:w="0" w:type="dxa"/>
            <w:vAlign w:val="bottom"/>
          </w:tcPr>
          <w:p>
            <w:pPr>
              <w:spacing w:after="0"/>
              <w:rPr>
                <w:sz w:val="1"/>
                <w:szCs w:val="1"/>
                <w:color w:val="auto"/>
              </w:rPr>
            </w:pPr>
          </w:p>
        </w:tc>
      </w:tr>
      <w:tr>
        <w:trPr>
          <w:trHeight w:val="191"/>
        </w:trPr>
        <w:tc>
          <w:tcPr>
            <w:tcW w:w="2380" w:type="dxa"/>
            <w:vAlign w:val="bottom"/>
            <w:tcBorders>
              <w:right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300" w:type="dxa"/>
            <w:vAlign w:val="bottom"/>
            <w:tcBorders>
              <w:right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left w:val="single" w:sz="8" w:color="CFF0FC"/>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(1,352,32</w:t>
            </w:r>
          </w:p>
        </w:tc>
        <w:tc>
          <w:tcPr>
            <w:tcW w:w="16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top w:val="single" w:sz="8" w:color="auto"/>
              <w:left w:val="single" w:sz="8" w:color="CFF0FC"/>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192,337,566</w:t>
            </w:r>
          </w:p>
        </w:tc>
        <w:tc>
          <w:tcPr>
            <w:tcW w:w="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$ 1,626,879</w:t>
            </w:r>
          </w:p>
        </w:tc>
        <w:tc>
          <w:tcPr>
            <w:tcW w:w="8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237,428</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22"/>
                <w:szCs w:val="22"/>
                <w:color w:val="auto"/>
              </w:rPr>
            </w:pPr>
          </w:p>
        </w:tc>
        <w:tc>
          <w:tcPr>
            <w:tcW w:w="1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-2596515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-2579370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-2596515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-2579370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-2596515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-2579370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-2596515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-2579370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-2596515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-2579370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-2596515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-2579370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-2596515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-2579370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33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9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(26,087)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(46,878)</w:t>
            </w: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(4,830)</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(13,268)</w:t>
            </w:r>
          </w:p>
        </w:tc>
      </w:tr>
      <w:tr>
        <w:trPr>
          <w:trHeight w:val="21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(28,246)</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(9,175)</w:t>
            </w:r>
          </w:p>
        </w:tc>
      </w:tr>
      <w:tr>
        <w:trPr>
          <w:trHeight w:val="216"/>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7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(59,553)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(63,039)</w:t>
            </w:r>
          </w:p>
        </w:tc>
      </w:tr>
      <w:tr>
        <w:trPr>
          <w:trHeight w:val="209"/>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79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ordinary shares pursuant to the</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“at-the-market” equity program, net of offering costs</w:t>
            </w:r>
          </w:p>
        </w:tc>
        <w:tc>
          <w:tcPr>
            <w:tcW w:w="8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0"/>
                <w:szCs w:val="20"/>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share options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ESPP</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r>
      <w:tr>
        <w:trPr>
          <w:trHeight w:val="209"/>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8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(57,468)</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(58,991)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605,874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305,838</w:t>
            </w:r>
          </w:p>
        </w:tc>
        <w:tc>
          <w:tcPr>
            <w:tcW w:w="100" w:type="dxa"/>
            <w:vAlign w:val="bottom"/>
          </w:tcPr>
          <w:p>
            <w:pPr>
              <w:spacing w:after="0"/>
              <w:rPr>
                <w:sz w:val="18"/>
                <w:szCs w:val="18"/>
                <w:color w:val="auto"/>
              </w:rPr>
            </w:pPr>
          </w:p>
        </w:tc>
      </w:tr>
      <w:tr>
        <w:trPr>
          <w:trHeight w:val="25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548,406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-1868170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-1585595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-599440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Wave Life Sciences Ltd. (together with its subsidiaries, “Wave” or the “Company”) is a clinical-stage biotechnology company focused on unlocking the broad potential of ribonucleic acid (“RNA”) medicines (also known as oligonucleotides), or those targeting RNA, to transform human health. The Company’s RNA medicines platform, PRISM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combines multiple modalities, chemistry innovation and deep insights into human genetics to deliver scientific breakthroughs that treat both rare and common disorders. The Company’s toolkit of RNA-targeting modalities, including RNA interference (“RNAi”) (SpiNA) and RNA editing (AIMers), provides us with unmatched capabilities for designing and sustainably delivering candidates that optimally address disease biology. The Company’s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its versatile RNA medicines platform.</w:t>
      </w:r>
    </w:p>
    <w:p>
      <w:pPr>
        <w:spacing w:after="0" w:line="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 On April 3, 2017, Wave Life Sciences UK Limited (“Wave UK”) was formed as a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of Wave Life Sciences Ltd.</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15, 2026, Wave Life Sciences Ltd., a public company limited by shares incorporated under the laws of the Republic of Singapore (“Wave-Singapore”), announced that it has decided to restructure its corporate group to cause the parent company of the group to be a Delaware corporation (the “Redomiciliation”), which is subject to approval of the shareholders of Wave-Singapore and the High Court of the Republic of Singapore. Under generally accepted accounting principles in the United States (“U.S. GAAP”), the statutory scheme of arrangement required for the Redomiciliation will be accounted for consistent with a reorganization of entities under common control.</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primary activities have been developing and evolving PRISM to design, develop and commercialize RNA medicines, advancing the Company’s differentiated portfolio,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not generated any product revenue and has incurred recurring operating losses. To date, the Company has primarily funded its operations through private placements of debt and equity securities, public and other registered offerings of its equity securities and collaborations with third parties. Until the Company can generate significant revenue from product sales, if ever, the Company expects to continue to finance operations through a combination of public or private equity or debt financings or other sources, which may include upfront and milestone payments from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$544.6 million. The Company expects that its existing cash and cash equivalents will be sufficient to fund its operations for at least the next twelve months from the issuance date of these financial statements. The Company has based this expectation on the best information available, however the Company may use its available capital resources sooner than it currently expects. If the Company’s anticipated operating results are not achieved in future periods, planned expenditures may need to be further reduced in order to extend the 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prepared the accompanying consolidated financial statements in conformity with U.S. GAAP and in U.S. dollars.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2025, and the notes thereto, which are included in the Company’s Annual Report on Form 10-K for the year ended December 31, 2025, filed with the Securities and Exchange Commission (“SEC”) on February 26, 2026 (the “2025 Annual Report on Form 10-K”), have had no material changes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Data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accompanying interim consolidated balance sheet as of March 31, 2026, the related interim consolidated statements of operations and comprehensive loss for the three months ended March 31, 2026 and 2025, the consolidated statements of Series A preferred shares and shareholders’ equity for the three months ended March 31, 2026 and 2025, the consolidated statements of cash flows for the three months ended March 31, 2026 and 2025, and the related interim information contained within the notes to the unaudited consolidated financial statements have been prepared in accordance with the rules and regulations of the SEC for interim financial information. Accordingly, they do not include all of the information and the notes required by U.S. GAAP for complete financial statements. The financial data and other information disclosed in these notes related to the three months ended March 31, 2026 and 2025 are unaudited.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2026 and 2025. The results of operations for the interim periods are not necessarily indicative of the results to be expected for the year ending December 31, 2026 or any other interim period or future year or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5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related to CROs and CMOs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-1079500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SHARE-BASED COMPENSATION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Wave Life Sciences Ltd. 2021 Equity Incentive Plan was approved by the Company’s shareholders and went into effect on August 10, 2021 and was amended effective as of August 9, 2022, August 1, 2023, August 6, 2024, and August 5, 2025 (as amended, the “2021 Plan”).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was originally 5,450,000 ordinary shares, and was subsequently increased to 11,450,000, 17,950,000, 22,950,000, and 30,950,000 in August 2022, August 2023, August 2024, and August 2025, respectively,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1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2021 Plan authorizes (and the 2014 Plan previously authorized) the Company’s board of directors or a committee of the board of directors to, among other things, grant non-qualified share options, restricted awards, which include restricted shares and restricted share units (“RSUs”), and performance awards to eligible employees, consultants, and non-employee directors of the Company. The Company accounts for grants to its non-employee directors as grants to employees.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Options generally vest over periods of one to four years, and options that are forfeited or cancelled are available to be granted again. The contractual life of options is generally five years in the case of non-employees or ten years in the case of employees, in each case from the grant date. RSUs can be time-based or performance-based. Time-based RSUs generally vest over a period of one to four years. Vesting of the performance-based RSUs is contingent on the occurrence of certain regulatory or commercial milestones. Any RSUs that are forfeited are available to be granted again.</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an aggregate of 5,104,084 options to employees and non-employee directors and 1,738,200 time-based RSUs to employees and non-employee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3,117,870 ordinary shares remained available for future grant under the 2021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options and RSUs outstanding as of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266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00" w:type="dxa"/>
            <w:vAlign w:val="bottom"/>
          </w:tcPr>
          <w:p>
            <w:pPr>
              <w:spacing w:after="0"/>
              <w:rPr>
                <w:sz w:val="12"/>
                <w:szCs w:val="12"/>
                <w:color w:val="auto"/>
              </w:rPr>
            </w:pPr>
          </w:p>
        </w:tc>
        <w:tc>
          <w:tcPr>
            <w:tcW w:w="18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2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24,866,720</w:t>
            </w:r>
          </w:p>
        </w:tc>
        <w:tc>
          <w:tcPr>
            <w:tcW w:w="5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21,938,718</w:t>
            </w: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3,243,018</w:t>
            </w:r>
          </w:p>
        </w:tc>
        <w:tc>
          <w:tcPr>
            <w:tcW w:w="5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1,786,211</w:t>
            </w:r>
          </w:p>
        </w:tc>
      </w:tr>
    </w:tbl>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Wave Life Sciences Ltd. 2019 Employee Share Purchase Plan, as amended (the “ESPP”), allows full-time and certain part-time employees to purchase the Company’s ordinary shares at a discount to fair market value. Eligible employees may enroll in a six-month offering period beginning every January 15th and July 15th. Ordinary shares are purchased at a price equal to 85% of the lower of the fair market value of the Company’s ordinary shares on the first business day or the last business day of an offering period. The aggregate number of ordinary shares authorized for issuance under the ESPP was originally 1,000,000 and was subsequently increased to 3,000,000 in August 2023. During the three months ended March 31, 2026, 90,479 ordinary shares were issued under the ESPP. As of March 31, 2026, there were 2,070,902 ordinary shares available for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 and Equity Agreements</w:t>
      </w:r>
    </w:p>
    <w:p>
      <w:pPr>
        <w:spacing w:after="0" w:line="12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On December 13, 2022, Wave USA and Wave UK entered into a Collaboration and License Agreement (the “GSK Collaboration Agreement”) with GlaxoSmithKline Intellectual Property (No. 3) (“GSK”). Pursuant to the GSK Collaboration Agreement, Wave and GSK agreed to collaborate on the research, development, and commercialization of oligonucleotide therapeutics, which originally included an exclusive global license to WVE-006. The discovery collaboration component has an initial four-year research term and combines Wave’s proprietary discovery and drug development platform, PRISM, with GSK’s unique genetic insights and its global development and commercial capabilities. On January 27, 2023, the GSK Collaboration Agreement became effective, and GSK paid Wave an upfront payment of $120.0 million.</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Simultaneously with the execution of the GSK Collaboration Agreement, Wave entered into a Share Purchase Agreement (the “SPA”) on December 13, 2022, with Glaxo Group Limited (“GGL”), an affiliate of GSK, pursuant to which Wave agreed to sell 10,683,761 of its ordinary shares to GGL at a purchase price of $4.68 per share (the “GSK Equity Investment”). The GSK Equity Investment closed on January 26, 2023, following the completion of customary closing conditions. The ordinary shares purchased by GGL in the GSK Equity Investment carry certain registration rights customary for transactions of this kind. The Company did not incur any material costs in connection with the issuance of the ordinary shares under the SPA.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20"/>
        <w:spacing w:after="0" w:line="255" w:lineRule="auto"/>
        <w:rPr>
          <w:sz w:val="20"/>
          <w:szCs w:val="20"/>
          <w:color w:val="auto"/>
        </w:rPr>
      </w:pPr>
      <w:r>
        <w:rPr>
          <w:rFonts w:ascii="Times New Roman" w:cs="Times New Roman" w:eastAsia="Times New Roman" w:hAnsi="Times New Roman"/>
          <w:sz w:val="18"/>
          <w:szCs w:val="18"/>
          <w:color w:val="auto"/>
        </w:rPr>
        <w:t>The GSK Collaboration Agreement originally had three components: (1) a discovery collaboration which enables the Company to advance up to three programs leveraging targets informed by GSK’s novel genetic insights (“Wave’s Collaboration Programs”); (2) a discovery collaboration which enables GSK to advance up to eight programs leveraging PRISM and the Company’s oligonucleotide expertise and discovery capabilities (the “Discovery Research Collaboration”); and (3) an exclusive global license for GSK to WVE-006, the Company’s AATD program, that uses the Company’s proprietary AIMer technology (the "AATD Collaboration"). On February 2, 2026, the Company announced that it regained full rights to WVE-006, an investigational GalNAc-conjugated RNA editing oligonucleotide for alpha-1 antitrypsin deficiency, which was originally the subject of an exclusive global license to GSK under the GSK Collaboration Agreement.</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GSK Collaboration Agreement, each party grants to the other party certain licenses to the collaboration products to enable the other party to perform its obligations and exercise its rights under the GSK Collaboration Agreement, including license grants to enable each party to conduct research, development and commercialization activities pursuant to the terms of the GSK Collaboration Agreement. The parties’ exclusivity obligations to each other are limited on a target-by-target basis with regard to targets in the collaboration. GSK may terminate the GSK Collaboration Agreement for convenience, in its entirety or on a target-by-target basis. Subject to certain exceptions, each party has the right to terminate the GSK Collaboration Agreement on a target-by-target basis if the other party, or a related party, challenges the patentability, enforceability or validity of any patents within the licensed technology that cover any product that is subject to the GSK Collaboration Agreement. In the event of any material breach of the GSK Collaboration Agreement by a party, subject to cure rights, the other party may terminate the GSK Collaboration Agreement in its entirety if the breach relates to all targets or on a target-by-target basis if the breach relates to a specific target. In the event that GSK and its affiliates cease development, manufacturing and commercialization activities with respect to compounds or products subject to the GSK Collaboration Agreement and directed to a particular target, the Company may terminate the GSK Collaboration Agreement with respect to such target. Either party may terminate the GSK Collaboration Agreement for the other party’s insolvency. In certain termination circumstances, the Company would receive a license from GSK to continue researching, developing and manufacturing certain products.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GSK Collaboration Agreement,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 The GSK Collaboration Agreement includes options to extend the research term for up to three additional years, which would increase the number of programs available to both parties. The Company will lead all preclinical research for GSK and the Company’s collaboration programs up to investigational new drug (“IND”)-enabling studies. The Company will lead IND-enabling studies, clinical development and commercialization for the Company’s collaboration programs. GSK collaboration programs will transfer to GSK for IND-enabling studies, clinical development and commercialization.</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GSK Collaboration Agreement is managed by a joint steering committee in which both parties are represented equally. In addition, the AATD Collaboration was overseen by a joint development committee, a joint patent committee advises on intellectual property activities, and the Discovery Research Collaboration is overseen by a joint research committee. Both parties are represented equally for these committees and report to the joint steering committee.</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Revenue from Contracts with Customers (“ASC 606”) and concluded that the contract counterparty, GSK, is a customer for the AATD Collaboration prior to GSK exercising its option and, for the Discovery Research Collaboration programs during the target validation research term. The Company identified the following material promises under the arrangement: (1) the exclusive global license for WVE-006; (2) the research and development services for WVE-006 through the Phase 1/2 study; (3) the discovery research services under the Discovery Research Collaboration to perform target validation programs; (4) research and development license for the Discovery Research Collaboration; and (5) the research and development services for the GSK collaboration programs through completion of a candidate selection. The research and development services for WVE-006 were determined to not be distinct from the exclusive global license and should therefore be combined into a single performance obligation for the AATD Collaboration. The research and development services for the Discovery Research Collaboration were determined to not be distinct from the research and development license for the Discovery Research Collaboration and should therefore be combined into a single performance obligation. In addition, the Company determined the standalone selling price for the option to advance up to eight programs from the Discovery Research Collaboration and determined it did not provide a material right to GSK.</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these assessments, the Company identified two performance obligations in the GSK Collaboration Agreement: (1) AATD Collaboration consisting of the research and development services through completion of the Phase 1/2 study and research and development license for WVE-006 and (2) Discovery Research Collaboration which consists of research and development services for validating the targets and license for research and development license for targets.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fixed consideration of the $120.0 million upfront, the $15.4 million in premium related to the GSK Equity Investment and the fixed consideration related to the additional target validation research funding. The Company allocated the estimated variable consideration relating to the target validation research to the Discovery Research Collaboration and the variable consideration relating to the development milestone to the AATD Collaboration and then allocated the fixed consideration to the performance obligations on a relative standalone selling price basis. The Company determined that the GSK Collaboration Agreement did not contain a significant financing component. The program initiation fees to advance up to eight programs from the Discovery Research Collaboration to preclinically develop the GSK collaboration programs and the additional potential milestone payments were excluded from the transaction price, as all milestone amounts were fully constrained at the inception of the GSK Collaboration Agreement. The Company will reevaluate the transaction price at the end of each reporting period, and as uncertain events are resolved or other changes in circumstances occur, the Company will adjust its estimate of the transaction price.</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GSK Collaboration Agreement, GSK can advance up to eight programs (the “GSK Collaboration Programs”) leveraging the Company's PRISM platform and multiple RNA-targeting modalities (RNAi, RNA editing, splicing, and antisense) with target validation work ongoing across multiple therapy areas. The advancement to a development candidate following the achievement of target validation results in a GSK Collaboration Program performance obligation. In January 2026, GSK selected a fourth program to advance to development candidate following achievement of target validation. Under the GSK Collaboration Agreement, GSK has paid an aggregate of $32.0 million in program initiation payments related to these four programs.</w:t>
      </w:r>
    </w:p>
    <w:p>
      <w:pPr>
        <w:spacing w:after="0" w:line="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 under the GSK Collaboration Agreement, and the amount of the transaction price unsatisfied as of March 31, 2026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Transaction Price Allocated</w:t>
            </w:r>
          </w:p>
        </w:tc>
        <w:tc>
          <w:tcPr>
            <w:tcW w:w="240" w:type="dxa"/>
            <w:vAlign w:val="bottom"/>
          </w:tcPr>
          <w:p>
            <w:pPr>
              <w:spacing w:after="0"/>
              <w:rPr>
                <w:sz w:val="23"/>
                <w:szCs w:val="23"/>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Transaction Price Unsatisfied </w:t>
            </w:r>
            <w:r>
              <w:rPr>
                <w:rFonts w:ascii="Times New Roman" w:cs="Times New Roman" w:eastAsia="Times New Roman" w:hAnsi="Times New Roman"/>
                <w:sz w:val="24"/>
                <w:szCs w:val="24"/>
                <w:color w:val="auto"/>
                <w:vertAlign w:val="superscript"/>
              </w:rPr>
              <w:t>(1)</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AATD Collaboration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166,778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Research Collaboration</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15,163</w:t>
            </w:r>
          </w:p>
        </w:tc>
        <w:tc>
          <w:tcPr>
            <w:tcW w:w="24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7,932</w:t>
            </w:r>
          </w:p>
        </w:tc>
      </w:tr>
      <w:tr>
        <w:trPr>
          <w:trHeight w:val="216"/>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GSK Collaboration Programs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tcPr>
          <w:p>
            <w:pPr>
              <w:spacing w:after="0"/>
              <w:rPr>
                <w:sz w:val="18"/>
                <w:szCs w:val="18"/>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213,941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29,694</w:t>
            </w:r>
          </w:p>
        </w:tc>
      </w:tr>
    </w:tbl>
    <w:p>
      <w:pPr>
        <w:ind w:left="760"/>
        <w:spacing w:after="0"/>
        <w:rPr>
          <w:sz w:val="20"/>
          <w:szCs w:val="20"/>
          <w:color w:val="auto"/>
        </w:rPr>
      </w:pPr>
      <w:r>
        <w:rPr>
          <w:rFonts w:ascii="Times New Roman" w:cs="Times New Roman" w:eastAsia="Times New Roman" w:hAnsi="Times New Roman"/>
          <w:sz w:val="18"/>
          <w:szCs w:val="18"/>
          <w:color w:val="auto"/>
        </w:rPr>
        <w:t>(1) The unsatisfied transaction price will be recognized over the remaining applicable research or program term.</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developed the estimated standalone selling price for the global license for WVE-006, under the AATD Collaboration, using a discounted cash flow model. For the performance obligation associated with the research and development services under the Discovery Research Collaboration and the research and development services for WVE-006 under the AATD Collaboration,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Revenue associated with the AATD Collaboration performance obligation was being recognized as the research and development services were provided using an input measure, according to the costs incurred and the total costs expected to be incurred to satisfy the performance obligation. The revenue associated with the Discovery Research Collaboration performance obligation is being recognized as the research and development services are provided using an input measure, according to the costs incurred and the total costs expected to be incurred to satisfy the performance obligation. The amounts received that have not yet been recognized as revenue are recorded in deferred revenue on the Company’s consolidated balance sheet. Additional funding related to the Company’s research activities related to Discovery Research Collaboration will be recorded as accounts receivable when contractually enforceable and recorded as deferred revenue, or as revenue as the services are provided.</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achieved a developmental milestone which pertained to the initiation of dosing in healthy volunteers in the RestorAATion clinical trial program, triggering a $20.0 million milestone payment to the Company from GSK, which was collected in the first quarter of 2024. During the year ended December 31, 2025, GSK acknowledged the Company’s achievement of another development milestone for the AATD program, triggering a $10.0 million milestone payment to the Company from GSK, which was collected during the fourth quarter of 2025.</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revenue of $38.2 million and $9.2 million, respectively, under the GSK Collaboration Agreement using the input method described above. Through March 31, 2026, the Company has recognized collaboration revenue of $184.2 million under the GSK Collaboration Agreement in the Company’s consolidated statements of operations and comprehensive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180"/>
        <w:spacing w:after="0" w:line="255"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Company’s unsatisfied and partially unsatisfied performance obligations and recorded in deferred revenue on March 31, 2026 is approximately $24.0 million, of which approximately $9.4 million was included in current liabilities and approximately $14.6 million was included in long-term liabilities. The aggregate amount of the transaction price allocated to the Company’s unsatisfied and partially unsatisfied performance obligations and recorded in deferred revenue on December 31, 2025 was approximately $52.2 million, of which approximately $44.4 million was included in current liabilities and $7.8 million was included in long-term liabilities. The Company recognized the remaining deferred revenue related to the AATD performance obligation, which was fully satisfied upon the termination of the AATD license, in the first quarter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ORDINARY SHARE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underwritten public offering that the Company completed in December 2025, the Company sold pre-funded warrants to purchase up to 2,631,578 ordinary shares, which are included in the total vested and exercisable pre-funded warrants (the Company's pre-funded warrants outstanding are collectively referred to as the “Pre-Funded Warrants”). As of March 31, 2026 and 2025, there were 11,600,257 and 8,968,679, respectively, vested and exercisable Pre-Funded Warrants outstanding to purchase ordinary shares for the exercise price of $0.0001 per share, provided that, unless and until the Company obtains shareholder approval for the issuance of the shares underlying the Pre-Funded Warrants, a holder will not be entitled to exercise any portion of any Pre-Funded Warrant, which, upon giving effect to such exercise, would cause (i) the aggregate number of our ordinary shares beneficially owned by the holder (together with its affiliates) to exceed 4.99% (or at the election of such holder, 9.99% or 19.99%) of the number of our ordinary shares outstanding immediately after giving effect to the exercise, or (ii) the combined voting power of our securities beneficially owned by the holder (together with its affiliates) to exceed 4.99% (or at the election of such holder, 9.99% or 19.99%) of the combined voting power of all of our securities then outstanding immediately after giving effect to the exercise, as such percentage ownership is determined in accordance with the terms of the Pre-Funded Warrants. The Pre-Funded Warrants are included in the weighted-average shares outstanding used in the calculation of basic net loss per share as the exercise price is negligible and the warrants are fully vested and exercisable.</w:t>
      </w:r>
    </w:p>
    <w:p>
      <w:pPr>
        <w:spacing w:after="0" w:line="8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and Pre-Funded Warrant holders by the weighted-average number of ordinary shares and Pre-Funded Warrants outstanding.</w:t>
      </w:r>
    </w:p>
    <w:p>
      <w:pPr>
        <w:spacing w:after="0" w:line="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share options to purchase ordinary shares and RSUs, are considered to be ordinary share equivalents and are only included in the calculation of diluted net loss per share when their effect is dilutive. In March 2026, the Series A preferred shares were converted to ordinary shares on a one-to-one basis and included in the calculation of net loss per share as of the date of conversion.</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68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18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24,866,720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21,938,718</w:t>
            </w:r>
          </w:p>
        </w:tc>
        <w:tc>
          <w:tcPr>
            <w:tcW w:w="100" w:type="dxa"/>
            <w:vAlign w:val="bottom"/>
            <w:shd w:val="clear" w:color="auto" w:fill="CFF0FC"/>
          </w:tcPr>
          <w:p>
            <w:pPr>
              <w:spacing w:after="0"/>
              <w:rPr>
                <w:sz w:val="18"/>
                <w:szCs w:val="18"/>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3,243,018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1,786,211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no income tax benefit or provision. The Company maintained a full valuation allowance for the three months ended March 31, 2026 and 2025 in all jurisdictions due to uncertainty regarding future taxable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GEOGRAPHIC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March 31, 2026 and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related party transactions:</w:t>
      </w:r>
    </w:p>
    <w:p>
      <w:pPr>
        <w:spacing w:after="0" w:line="117" w:lineRule="exact"/>
        <w:rPr>
          <w:sz w:val="20"/>
          <w:szCs w:val="20"/>
          <w:color w:val="auto"/>
        </w:rPr>
      </w:pPr>
    </w:p>
    <w:p>
      <w:pPr>
        <w:ind w:left="1020" w:right="160" w:hanging="503"/>
        <w:spacing w:after="0" w:line="25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various contract research service agreements with Shin Nippon Biomedical Laboratories Ltd., a contract research organization and one of the Company’s shareholders, and its affiliates (together, “SNBL”), the Company paid SNBL $2.9 million and $0.1 million, respectively, during each of the three months ended March 31, 2026 and 2025. Through March 31, 2026, the Company has paid an aggregate of $6.3 million to SNBL for the aforementioned various service agreements. During each of the three months ended March 31, 2026 and 2025, the Company incurred expenses of approximately $1.3 million and $0.6 million, respectively, related to the aforementioned various service agreements.</w:t>
      </w:r>
    </w:p>
    <w:p>
      <w:pPr>
        <w:spacing w:after="0" w:line="29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developing its proprietary RNA medicines platform, PRISM, to develop and commercialize a broad pipeline of RNA medicines in a variety of therapeutic areas. Consistent with the Company’s operational structure, the Company’s chief executive officer (“CEO”), as the CODM, manages and allocates resources on a consolidated basis at the global corporate level. The results of our operations are reported on a consolidated basis for purposes of segment reporting. The CEO uses consolidated net loss that is reported on the consolidated statements of operations and comprehensive loss for the purposes of assessing performance, allocating resources and planning, monitoring budget versus actual results, and forecasting future periods.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consolidated operating expenses as the Company’s single segment operating loss for the three months ended March 31, 2026 and 2025 is included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500" w:type="dxa"/>
            <w:vAlign w:val="bottom"/>
            <w:gridSpan w:val="2"/>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INHBE program</w:t>
            </w:r>
          </w:p>
        </w:tc>
        <w:tc>
          <w:tcPr>
            <w:tcW w:w="240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50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AATD program</w:t>
            </w:r>
          </w:p>
        </w:tc>
        <w:tc>
          <w:tcPr>
            <w:tcW w:w="1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DMD program</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HD program</w:t>
            </w:r>
          </w:p>
        </w:tc>
        <w:tc>
          <w:tcPr>
            <w:tcW w:w="1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20" w:type="dxa"/>
            <w:vAlign w:val="bottom"/>
          </w:tcPr>
          <w:p>
            <w:pPr>
              <w:ind w:left="80"/>
              <w:spacing w:after="0" w:line="198" w:lineRule="exact"/>
              <w:rPr>
                <w:sz w:val="20"/>
                <w:szCs w:val="20"/>
                <w:color w:val="auto"/>
              </w:rPr>
            </w:pPr>
            <w:r>
              <w:rPr>
                <w:rFonts w:ascii="Times New Roman" w:cs="Times New Roman" w:eastAsia="Times New Roman" w:hAnsi="Times New Roman"/>
                <w:sz w:val="17"/>
                <w:szCs w:val="17"/>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including PNPLA3,</w:t>
            </w: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11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69,544</w:t>
            </w:r>
          </w:p>
        </w:tc>
        <w:tc>
          <w:tcPr>
            <w:tcW w:w="15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-316230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60" w:hanging="3"/>
        <w:spacing w:after="0" w:line="266" w:lineRule="auto"/>
        <w:tabs>
          <w:tab w:leader="none" w:pos="10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and in our Annual Report on Form 10-K for the year ended December 31, 2025, filed with the Securities and Exchange Commission (“SEC”) on February 26, 2026 (the “2025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the “Risk Factors” section of our 2025 Annual Report on Form 10-K,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We are a clinical-stage biotechnology company focused on unlocking the broad potential of ribonucleic acid (“RNA”) medicines (also known as oligonucleotides), or those targeting RNA, to transform human health. Our RNA medicines platform, PRISM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combines multiple modalities, chemistry innovation and deep insights into human genetics to deliver scientific breakthroughs that treat both rare and common disorders. Our toolkit of RNA-targeting modalities, including RNAi interference (“RNAi”) (SpiNA) and RNA editing (AIMers), provides us with unmatched capabilities for designing and sustainably delivering candidates that optimally address disease biology. Our pipeline is focused on our obesity (WVE-007), alpha-1 antitrypsin deficiency (“AATD”) (WVE-006) and PNPLA3 I148M liver disease (WVE-008) programs, and also includes clinical programs for Duchenne muscular dystrophy (“DMD”) and Huntington’s disease (“HD”), as well as several preclinical programs utilizing our versatile RNA medicines platform.</w:t>
      </w:r>
    </w:p>
    <w:p>
      <w:pPr>
        <w:spacing w:after="0" w:line="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were founded on the recognition that there was a significant, untapped opportunity to use chemistry innovation to tune the pharmacological properties of oligonucleotides. We have more than a decade of experience challenging convention related to oligonucleotide design and pioneering novel chemistry modifications to optimize the pharmacological properties of our molecules. We have seen in clinical trials that these chemistry modifications enhance potency, distribution, and durability of effect of our molecules. Our novel chemistry also allows us to avoid using complex delivery vehicles, such as lipid nanoparticles and viruses, and instead use clinically proven conjugates (</w:t>
      </w:r>
      <w:r>
        <w:rPr>
          <w:rFonts w:ascii="Times New Roman" w:cs="Times New Roman" w:eastAsia="Times New Roman" w:hAnsi="Times New Roman"/>
          <w:sz w:val="18"/>
          <w:szCs w:val="18"/>
          <w:i w:val="1"/>
          <w:iCs w:val="1"/>
          <w:color w:val="auto"/>
        </w:rPr>
        <w:t>e.g., N</w:t>
      </w:r>
      <w:r>
        <w:rPr>
          <w:rFonts w:ascii="Times New Roman" w:cs="Times New Roman" w:eastAsia="Times New Roman" w:hAnsi="Times New Roman"/>
          <w:sz w:val="18"/>
          <w:szCs w:val="18"/>
          <w:color w:val="auto"/>
        </w:rPr>
        <w:t>-acetylgalactosamine or (“GalNAc”)) or free uptake for delivery to a variety of cell and tissue types. We maintain strong and broad intellectual property, including for our novel chemistry modifications.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best-in-class chemistry capabilities have also unlocked new areas of biology, such as harnessing adenosine deaminases acting on RNA (“ADAR”) enzymes for messenger RNA (“mRNA”) correction and upregulation, selectively silencing a mutant allele, and more. By opening up new areas of biology, we have also opened up new opportunities to slow, stop, or reverse disease and have expanded the possibilities offered through our platform.</w:t>
      </w:r>
    </w:p>
    <w:p>
      <w:pPr>
        <w:spacing w:after="0" w:line="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inspiration for our multimodal platform is based on the recognition that the biological machinery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enzymes) needed to address human disease already exists within our cells and can be harnessed for therapeutic purposes with the right tools. We believe that we have built the most versatile toolkit of RNA-targeting modalities in the industry, with multiple means of repairing, restoring, or reducing proteins and designing best-fit solutions based on the unique biology of a given disease target. We are actively advancing programs across modalities, including RNAi (silencing), RNA editing, which uses novel A-to-I RNA editing oligonucleotides (“AIMers”), antisense silencing, and splicing. We have also advanced novel bifunctional modalities designed to silence multiple targets or silence one target while simultaneously editing or upregulating another unique target.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706120</wp:posOffset>
            </wp:positionV>
            <wp:extent cx="6172200" cy="2802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intentionally focus on targeting the transcriptome using oligonucleotides rather than other nucleic acid modalities such as gene therapy and DNA editing. This focus enables us to:</w:t>
      </w:r>
    </w:p>
    <w:p>
      <w:pPr>
        <w:spacing w:after="0" w:line="162" w:lineRule="exact"/>
        <w:rPr>
          <w:sz w:val="20"/>
          <w:szCs w:val="20"/>
          <w:color w:val="auto"/>
        </w:rPr>
      </w:pPr>
    </w:p>
    <w:p>
      <w:pPr>
        <w:ind w:left="880" w:right="540" w:hanging="378"/>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diversity of expression across cell types by modulating the many regulatory pathways that impact gene expression, including transcription, endogenous RNAi pathways, splicing, and translation;</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diseases that have historically been difficult to treat with small molecules or biologics;</w:t>
      </w:r>
    </w:p>
    <w:p>
      <w:pPr>
        <w:spacing w:after="0" w:line="225" w:lineRule="exact"/>
        <w:rPr>
          <w:rFonts w:ascii="Times New Roman" w:cs="Times New Roman" w:eastAsia="Times New Roman" w:hAnsi="Times New Roman"/>
          <w:sz w:val="18"/>
          <w:szCs w:val="18"/>
          <w:color w:val="auto"/>
        </w:rPr>
      </w:pPr>
    </w:p>
    <w:p>
      <w:pPr>
        <w:ind w:left="880" w:right="140" w:hanging="378"/>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 variety of tissue types or cell types throughout the body and modulate the frequency of dosing for broad distribution in tissues over time;</w:t>
      </w:r>
    </w:p>
    <w:p>
      <w:pPr>
        <w:spacing w:after="0" w:line="161"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risk of permanent off-target genetic changes and other challenges associated with DNA editing or gene therapy approaches; and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well-established industry manufacturing processes and regulatory, access, and reimbursement pathways.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prioritizing lead programs that use GalNAc delivery for hepatic and metabolic diseases, each of which has potential to translate powerful human genetic insights into potentially transformational RNA medicines:</w:t>
      </w:r>
    </w:p>
    <w:p>
      <w:pPr>
        <w:spacing w:after="0" w:line="162" w:lineRule="exact"/>
        <w:rPr>
          <w:sz w:val="20"/>
          <w:szCs w:val="20"/>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is a GalNAc-conjugated siRNA (SpiNA design) targeting inhibin βE (“INHBE”) for obesity;</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is a GalNAc-conjugated RNA editing oligonucleotide (AIMer) for AATD;</w:t>
      </w:r>
    </w:p>
    <w:p>
      <w:pPr>
        <w:spacing w:after="0" w:line="225"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WVE-008 is a GalNAc-conjugated RNA editing oligonucleotide (AIMer) for PNPLA3 I148M liver disease.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clinical-stage portfolio also includes WVE-N531, an exon 53 splicing oligonucleotide for DMD, and WVE-003, an allele-selective oligonucleotide designed to lower mutant huntingtin (“mHTT”) protein and preserve healthy, wild-type huntingtin (“wtHTT”) protein. We are also advancing several emerging siRNA and RNA editing programs targeting both hepatic and extra-hepatic tissues.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2588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our lead therapeutic programs are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Obesity</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WVE-007 is a GalNAc-siRNA, that utilizes Wave’s proprietary design (“SpiNA”). WVE-007 is designed to silence INHBE mRNA to induce fat loss by stimulating lipolysis (fat breakdown) while preserving muscle mass to promote and maintain a healthy metabolic profile. There are approximately 175 million people in the United States and Europe, and over one billion people globally, living with obesity, and therapeutic options beyond GLP-1 receptor agonists are needed. GLP-1 receptor agonists lead to weight loss at the expense of muscle, suppress the general reward system, and are associated with a poor tolerability profile and high discontinuation rates. Heterozygous INHBE loss-of-function (“LoF”) human carriers exhibit a healthy metabolic profile, including reduced waist-to-hip ratio and reduced odds of developing type 2 diabetes or coronary artery disease, and reduction of INHBE by 50% or more is expected to promote a healthy metabolic profile.</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preclinical diet-induced obesity (“DIO”) mouse models, a single dose of our INHBE GalNAc-siRNA has demonstrated highly potent and durable INHBE silencing (and &gt;70% Activin E reductions), supporting once or twice a year subcutaneous dosing in humans. Weight loss was driven by visceral fat loss, and muscle mass was preserved in the mice, which is consistent with the profile of human INHBE LoF carriers. In DIO mice studies, a single dose of our INHBE GalNAc-siRNA led to a weight loss effect that was similar to daily subcutaneous injections of semaglutide for 28 days. We also observed a decrease in high fat diet-induced expansion of visceral adipose mass. This reduction of visceral fat mass was associated with significant shrinkage of adipocyte enlargement induced by a high fat diet compared with phosphate-buffered saline (“PBS”) treatment. Collectively, these results support the promotion of healthy adipose tissue with this mechanism of action, while muscle mass was preserved. In a head-to-head study in DIO mice, treatment with our INHBE GalNAc-siRNA prior to cessation of semaglutide treatment curtailed expected rebound weight gain. When administered as an add-on to semaglutide, a single dose of our INHBE GalNAc-siRNA doubled the weight loss observed with semaglutide alone, and this effect was sustained throughout the duration of the preclinical study.</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preclinical studies, we have also observed that infiltration of macrophages into visceral adipose was significantly decreased by a single dose of INHBE GalNAc-siRNA compared with PBS controls. INHBE GalNAc-siRNA also significantly reduced proinflammatory M1 macrophage (CD11c positive) while sustaining levels of anti-inflammatory M2 macrophages in visceral fat, indicating an overall shift away from a pro-inflammatory state. Further, RNA sequencing data from subcutaneous adipose tissue indicates that INHBE GalNAc-siRNA leads to the upregulation of genes promoting insulin sensitivity, fatty acid utilization and beiging of white adipose, while downregulating adipose inflammation and fibrosis pathways. RNA sequencing data from visceral adipose tissue demonstrate that our INHBE GalNAc-siRNA increased glucose and fatty acid utilization, and reduced inflammation and fibrosis in adipose tissue.</w:t>
      </w:r>
    </w:p>
    <w:p>
      <w:pPr>
        <w:spacing w:after="0" w:line="8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INLIGHT™ is our first-in-human clinical trial of WVE-007 in individuals living with obesity. The Phase 1 single ascending dose (“SAD”) portion of INLIGHT includes otherwise healthy adults living with overweight or obesity to assess safety, tolerability, pharmacokinetics (“PK”), Activin E, body weight, biomarkers and body composition as measured by Dual-Energy X-ray Absorptiometry (“DEXA”).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2025, we announced positive interim data from the ongoing Phase 1, SAD portion of INLIGHT, including three-month follow-up from the single subcutaneous 240 mg dose cohort in 32 individuals. These data demonstrated improvements in body composition including reduction in visceral fat, reduction in total fat mass, and preservation of muscle as measured by DEXA. Additionally, we shared that we observed consistent and durable serum Activin E reductions across participants, which support WVE-007’s potential for once or twice-yearly dosing. WVE-007 was generally safe and well tolerated across all dose levels (75 mg, 240 mg, 400 mg, and 600 mg).</w:t>
      </w:r>
    </w:p>
    <w:p>
      <w:pPr>
        <w:spacing w:after="0" w:line="75"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In March 2026, we announced additional interim data from the Phase 1, SAD portion of INLIGHT. Participants had an average BMI of 32 kg/m², a population with less fat and lower BMI than those in Phase 2 and 3 obesity studies. Key highlights from the update in March 2026 include:</w:t>
      </w:r>
    </w:p>
    <w:p>
      <w:pPr>
        <w:ind w:left="380" w:right="200" w:hanging="372"/>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six-month follow-up, a single 240 mg dose of WVE-007 demonstrated significant placebo-adjusted reductions in visceral fat (-14%; p&lt;0.05) and total fat (-5%), stabilization of lean mass (+2%), and reductions in waist circumference (-3%) and body weight (-1%).</w:t>
      </w:r>
    </w:p>
    <w:p>
      <w:pPr>
        <w:ind w:left="380" w:right="80" w:hanging="372"/>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400 mg cohort had a leaner baseline body composition, with lower BMI and more participants (10 out of 24 individuals) with healthy levels of visceral fat (≤500 g). A post-hoc analysis of the three-month 400 mg cohort results demonstrated robust and statistically significant average reduction in visceral fat (-7.8%, p&lt;0.05) in individuals with higher baseline visceral fat (&gt;500g), emphasizing the impact of baseline body composition on therapeutic effect.</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durable, and dose-dependent serum Activin E reductions sustained through at least seven months continue to support WVE-007’s potential for once or twice-yearly dosing, with a mean maximum reduction of up to 88%.</w:t>
      </w: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WVE-007 was generally safe and well tolerated across all dose levels (75 mg, 240 mg, 400 mg, and 600 mg).</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INLIGHT clinical trial is currently ongoing with 240 mg (n=32), 400 mg (n=32), and 600 mg (n=32) cohorts fully dosed. INLIGHT is ongoing at multiple trial sites including in the United States, following clearance of an Investigational New Drug (“IND”) application. Additional data from INLIGHT, including data from the 600 mg Phase 1 SAD cohort, are expected in 2026.</w:t>
      </w:r>
    </w:p>
    <w:p>
      <w:pPr>
        <w:spacing w:after="0" w:line="6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U.S. Food and Drug Administration (“FDA”) has accepted the Phase 2a multidose portion of INLIGHT trial of WVE-007 (INHBE GalNAc-siRNA) in individuals with higher BMI (35-50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and without type 2 diabetes. This placebo-controlled (3:1) Phase 2a study will include multiple assessments over a 12-month period, including body weight, waist circumference, body composition (MRI and DEXA), liver fat (MRI-PDFF), HbA1c, lipid levels, CRP, and muscle function. The results will inform further development of WVE-007 in obesity, as well as metabolic dysfunction-associated steatohepatitis (“MASH”), type 2 diabetes, and cardiovascular disease. The first assessment in this portion of the trial is planned for three months after participants have received their first dose.</w:t>
      </w:r>
    </w:p>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to initiate the Phase 2a portion of INLIGHT in the second quarter of 2026. We expect to initiate combination and maintenance trials of WVE-007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Alpha-1 antitrypsin deficiency (“AATD”)</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AATD program uses our novel GalNAc-conjugated AIMers (RNA editing oligonucleotides) and endogenous ADAR enzymes to correct a single base in the mutant SERPINA1 mRNA. By correcting the single RNA base mutation that causes a majority of AATD cases with the Pi*ZZ genotype (approximately 200,000 in the United States and Europe), RNA editing may provide an ideal approach for increasing circulating levels of wild-type AAT protein and reducing mutant protein aggregation in the liver, thus simultaneously addressing both the lung and liver manifestations of the disease. WVE-006 does not require lipid nanoparticle (“LNP”) delivery, which may be associated with systemic and liver toxicities, and comes without the risk of irreversible, collateral bystander edits and indels, which are associated with DNA base editing.</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WVE-006 is first-in-class in AATD and is the most advanced program currently in clinical development using an oligonucleotide to harness an endogenous enzyme for RNA editing. Preclinical data show that treatment with WVE-006 resulted in serum AAT protein levels of up to 30 µM (7-fold increase) in an established AATD mouse model (NSG-PiZ). WVE-006 also led to restoration of approximately 50% wild-type M-AAT protein in serum and a 3-fold increase in neutrophil elastase inhibition activity, indicating that the restored M-AAT protein was functional. Our AATD AIMers are highly specific to SERPINA1 RNA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based on transcriptome-wide analyses.</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RestorAATion clinical program investigating WVE-006 as a treatment for AATD is comprised of two parts: RestorAATion-1, a study of healthy volunteers, and RestorAATion-2, a Phase 1b/2a open label study designed to evaluate the safety, tolerability, pharmacodynamics and pharmacokinetics of WVE-006 in patients with AATD. The trial includes both single ascending dose and multiple ascending dose portions.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 September 2025, we announced positive data from the 200 mg single and multidose (n=8), and 400 mg single dose (n=8) cohorts of the 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RestorAATion-2 study. Key highlights included:</w:t>
      </w:r>
    </w:p>
    <w:p>
      <w:pPr>
        <w:spacing w:after="0" w:line="9" w:lineRule="exact"/>
        <w:rPr>
          <w:sz w:val="20"/>
          <w:szCs w:val="20"/>
          <w:color w:val="auto"/>
        </w:rPr>
      </w:pPr>
    </w:p>
    <w:p>
      <w:pPr>
        <w:ind w:left="760" w:right="44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single 200 mg dose of WVE-006, a total AAT level of 20.6 µM, including a M-AAT level of 10.3 µM, was observed in one individual during an acute phase response due to a kidney stone. These data demonstrate that treatment with WVE-006 enables endogenous regulation and dynamic increased secretion of AAT protein during an acute phase response as indicated by a concurrent C-reactive protein elevation.</w:t>
      </w:r>
    </w:p>
    <w:p>
      <w:pPr>
        <w:spacing w:after="0" w:line="1" w:lineRule="exact"/>
        <w:rPr>
          <w:rFonts w:ascii="Times New Roman" w:cs="Times New Roman" w:eastAsia="Times New Roman" w:hAnsi="Times New Roman"/>
          <w:sz w:val="18"/>
          <w:szCs w:val="18"/>
          <w:color w:val="auto"/>
        </w:rPr>
      </w:pPr>
    </w:p>
    <w:p>
      <w:pPr>
        <w:ind w:left="760" w:right="380" w:hanging="378"/>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200 mg multidose cohort, we observed 11.9 µM of total AAT and M-AAT of 7.2 µM, which was significantly increased from levels achieved during the single dose portion of the cohort. M-AAT levels reached 64.4% of total AAT, and mutant Z-AAT protein declined from baseline by 60.3%.</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400 mg single dose cohort, we observed total AAT of 12.8 µM and M-AAT of 5.3 µM.</w:t>
      </w:r>
    </w:p>
    <w:p>
      <w:pPr>
        <w:spacing w:after="0" w:line="9" w:lineRule="exact"/>
        <w:rPr>
          <w:rFonts w:ascii="Times New Roman" w:cs="Times New Roman" w:eastAsia="Times New Roman" w:hAnsi="Times New Roman"/>
          <w:sz w:val="18"/>
          <w:szCs w:val="18"/>
          <w:color w:val="auto"/>
        </w:rPr>
      </w:pPr>
    </w:p>
    <w:p>
      <w:pPr>
        <w:ind w:left="760" w:right="140" w:hanging="378"/>
        <w:spacing w:after="0" w:line="26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WVE-006 was generally safe and well tolerated with a favorable safety profile. All adverse events were mild to moderate in intensity, and there were no serious adverse events (“SAEs”).</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RestorAATion-2 clinical trial is fully enrolled through the 600 mg cohort, and dosing is complete in the SAD portion. We expect to share data from the 600 mg single dose cohort in addition to data from the 400 mg multidose cohort in May 2026. We also expect to share data from the 600 mg multidose cohort in the second half of 2026. In February 2026, we announced we were accelerating regulatory engagement for WVE-006, and we expect to receive regulatory feedback on a potential accelerated approval pathway mid-2026.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PNPLA3 I148M liver disease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effectively address the manifestations of PNPLA3 I148M liver disease, we use our novel RNA editing approach and have advanced WVE-008, a GalNAc-conjugated AIMer, as our clinical candidate.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PNPLA3 I148M is a genetic driver of liver disease, including metabolic dysfunction-associated fatty liver disease (“MAFLD”), MASH, and alcoholic steatohepatitis (“ASH”). There are an estimated nine million homozygous PNPLA3 I148M individuals with liver disease in the United States and Europe. Homozygous carriers have a near five-fold higher risk of liver-related death compared to heterozygous carriers. Additionally, homozygous PNPLA3 I148M carriers with MASH may experience more severe disease with faster progression to advanced fibrosis and end-stage liver disease.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PNPLA3 protein plays a critical role in hepatic lipid metabolism by balancing triglyceride storage and secretion, and supporting lipid remodeling, lipid mobilization, and retinol metabolism. The PNPLA3 I148M variant leads to a gain-of-function and contributes to liver disease by aggravating steatosis, inflammation, fibrosis, and ballooning. Therapeutic approaches aimed at silencing PNPLA3 may address liver fat accumulation, but they provide limited benefit in restoring retinol metabolism; fibrosis, ballooning, and inflammation are expected to persist. In contrast, an RNA editing approach to restore, rather than silence, PNPLA3 function in homozygous PNPLA3 I148M carriers should address liver disease by restoring lipid metabolism and reversing steatosis, fibrosis, ballooning, and inflammation.</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preclinical studies, we have demonstrated that our PNPLA3 GalNAc-AIMer restores functional PNPLA3 protein and decreases lipid accumulation. We expect to file a clinical trial application for WVE-008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Duchenne muscular dystrophy (“DMD”)</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DMD, we are advancing WVE-N531, which is designed to skip exon 53 within the dystrophin gene – a therapeutic approach that would address approximately 8-10% of DMD cases. WVE-N531 is designed to cause the cellular splicing machinery to skip over exon 53 during pre-mRNA processing, which restores the dystrophin mRNA reading frame and enables production of a truncated, but functional, dystrophin protein. Exon skipping produces dystrophin from the endogenous dystrophin gene (not micro or mini dystrophin expressed from a foreign vector), under the control of native gene-regulatory elements, resulting in physiological control over its expression. WVE-N531 is our first splicing candidate incorporating PN backbone (“PN”) chemistry to be assessed in the clinic. In the third quarter of 2024, the FDA granted Rare Pediatric Disease Designation and Orphan Drug Designation to WVE-N531.</w:t>
      </w:r>
    </w:p>
    <w:p>
      <w:pPr>
        <w:spacing w:after="0" w:line="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FORWARD-53, the Phase 1b/2a proof-of-concept, open label trial of WVE-N531 included “Part A,” in which 3 boys received 3 doses of WVE-N531 at 10 mg/kg every two weeks and “Part B,” in which 11 boys initially received 10 mg/kg every two weeks for 48 weeks. In “Part B”, biopsy data was gathered from eight boys after 24 and 48 weeks, as well as safety and functional outcome assessments for all participants. Key results from the study included:</w:t>
      </w:r>
    </w:p>
    <w:p>
      <w:pPr>
        <w:spacing w:after="0" w:line="1" w:lineRule="exact"/>
        <w:rPr>
          <w:sz w:val="20"/>
          <w:szCs w:val="20"/>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uptake in myogenic stem cells, which are integral to muscle regeneration, and in myofibers;</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WVE-N531 skeletal muscle concentrations of ~41,000 ng/g and a 61-day tissue half-life support monthly dosing;</w:t>
      </w:r>
    </w:p>
    <w:p>
      <w:pPr>
        <w:spacing w:after="0" w:line="9" w:lineRule="exact"/>
        <w:rPr>
          <w:rFonts w:ascii="Times New Roman" w:cs="Times New Roman" w:eastAsia="Times New Roman" w:hAnsi="Times New Roman"/>
          <w:sz w:val="18"/>
          <w:szCs w:val="18"/>
          <w:color w:val="auto"/>
        </w:rPr>
      </w:pPr>
    </w:p>
    <w:p>
      <w:pPr>
        <w:ind w:left="580" w:right="220" w:hanging="378"/>
        <w:spacing w:after="0" w:line="255"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and clinically meaningful improvement of 3.8 seconds in Time-to-Rise vs. natural history with largest effect observed relative to any approved dystrophin restoration therapy at 48 weeks; additional functional benefits observed in other outcome measures including North Star Ambulatory Assessment (“NSAA”);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580" w:right="120" w:hanging="378"/>
        <w:spacing w:after="0" w:line="257"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First-ever demonstration of substantial improvements in muscle health with exon skipping – statistically significant reduction in fibrosis driven by decreases in inflammation and necrosis, coupled with transition from regenerative to mature muscle; decreases in creatine kinase and circulating inflammatory biomarkers;</w:t>
      </w:r>
    </w:p>
    <w:p>
      <w:pPr>
        <w:spacing w:after="0" w:line="1"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Dystrophin expression stabilized between 24 and 48 weeks and averaged 7.8% with 88% of boys above 5% average dystrophin; and</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WVE-N531 was generally safe and well-tolerated with no SAEs observed.</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participants in FORWARD-53 elected to advance to the extension portion of the clinical trial, which is currently ongoing with boys receiving monthly doses of WVE-N531. To augment monthly data and ensure a monthly regimen at a potential launch, we expanded FORWARD-53 to include additional boys on a monthly dosing regimen. We plan to file a New Drug Application in 2026 to support accelerated approval of WVE-N531 with monthly dosing.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Huntington’s disease (“HD”)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WVE-003 is our stereopure allele-selective oligonucleotide that incorporates our proprietary PN chemistry and is designed to selectively target rs362273, a variant of the single nucleotide polymorphism (“SNP”), “mHTT SNP3”, associated with the disease-causing mHTT mRNA transcript within the HTT gene (Iwamoto et al., MTNA). Targeting mRNA through SNP3 allows us to lower expression of transcript from the mutant allele, while leaving the healthy transcript relatively intact, thereby preserving wild-type (healthy) huntingtin (“wtHTT”) protein, which is important for neuronal function. Approximately 40% of the HD population carries SNP3 according to published literature (Carroll et al., Molecular Therapy, 2011), and up to 80% of HD may be addressed in the future with other SNP-targeted candidates.</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SELECT-HD was a global, multicenter, randomized, double-blind, placebo-controlled Phase 1b/2a clinical trial to assess the safety and tolerability of WVE-003 in people with a confirmed diagnosis of HD who were in the early stages of the disease and carry SNP3 in association with their cytosine adenine guanine (“CAG”) expansion. Additional objectives included assessing PK and exploratory pharmacodynamics and clinical endpoints.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2024, we announced positive clinical data from the SELECT-HD study. Results from the multi-dose portion of the trial, which evaluated three doses of 30 mg WVE-003 administered every eight weeks, showed clear translation of target engagement to clinic with statistically significant, potent, durable and allele-selective reductions in cerebrospinal fluid (“CSF”) mHTT of up to a mean 46%, with preservation of wtHTT protein. The multi-dose cohort also revealed a statistically significant correlation between mHTT reduction and slowing of caudate atrophy, indicating a potential benefit of allele-selective mHTT reductions. Caudate atrophy, as measured by MRI, is a well-characterized measure of disease progression in HD. In the multi-dose cohort, WVE-003 was generally safe and well-tolerated, with mild-to-moderate adverse events (“AEs”) and no SAEs. In November 2024, five months after a patient completed their final safety visit, an SAE was reported that we assessed to be not related to WVE-003.</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Following our positive clinical results, we initiated engagement with the FDA. In November 2024, we received supportive initial feedback from the FDA, who recognize the severity of HD and are receptive to and engaged with us regarding a potential pathway to accelerated approval. The FDA is open to our plan to evaluate biomarkers, including caudate atrophy, as an endpoint to assess HD progression with the potential to predict clinical outcomes. Also in November 2024, the FDA granted Orphan Drug Designation to WVE-003.</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prepared an IND application for a potentially registrational Phase 2/3 study of WVE-003 and would plan to submit it in conjunction with a prospective strategic partner.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Discovery Pipeline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advancing new targets across multiple disease areas to expand our pipeline of wholly owned programs. Our compelling preclinical data demonstrate that our oligonucleotides can distribute to various tissues and cells without complex delivery vehicles, enabling us to address a wide variety of diseases. Within RNA editing, we have demonstrated clinically that we can address monogenic diseases by correcting the disease-causing mutation, as evidenced by restoration of healthy protein function for the treatment of AATD. Beyond correction, we have preclinical data demonstrating our ability to increase the stability of the mRNA transcript to upregulate protein levels. Within RNAi, we have shared preclinical data which show that our SpiNA designs enable RNAi-mediated silencing by further improving Ago2 loading and pharmacokinetics, leading to increased potency and durability compared to industry benchmarks. With our SpiNA designs, our preclinical data demonstrate we can silence targets in extra-hepatic tissues including adipose, skeletal muscle, heart, central nervous system (“CNS”), and kidney. We are utilizing a combination of human genetics and artificial intelligence (“AI”) for target discovery and oligonucleotide design, and we have initiated a number of preclinical RNA editing and RNAi programs supported by evidence from human genetics, that leverage easily accessible biomarkers, offer efficient paths to proof-of-concept in humans, and represent meaningful commercial opportunities.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applied learnings from across our platform and chemistry optimization to investigate new bifunctional modalities which combine RNAi and RNA editing or dual RNAi silencing into a single oligonucleotide construct. These constructs are designed to silence multiple targets or silence one target while simultaneously editing or upregulating another distinct target. We demonstrated the ability of a single bifunctional oligonucleotide to engage in silencing and editing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mice using a GalNAc-conjugated oligonucleotide that is designed to edit UGP2 and silence TTR. In a separate preclinical study, we also demonstrated that we were able to upregulate low-density lipoprotein receptor and silence PCSK9 using a single construct in primary human hepatocytes.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Through our collaboration with GlaxoSmithKline Intellectual Property (No. 3) (“GSK”), we are actively working on multiple target validation programs as GSK-partnered programs, for which all of our costs and expenses are prepaid by GSK. GSK has selected four programs, across multiple modalities in both hepatic and extra-hepatic tissues, to advance to development candidates following achievement of target validation, which have resulted in additional payments to us under the collaboration.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15, 2026, Wave Life Sciences Ltd., a public company limited by shares incorporated under the laws of the Republic of Singapore (“Wave-Singapore”), announced that it has decided to restructure its corporate group to cause the parent company of the group to be a Delaware corporation (the “Redomiciliation”), which is subject to approval of the shareholders of Wave-Singapore and the High Court of the Republic of Singapore. Under U.S. GAAP, the statutory scheme of arrangement required for the Redomiciliation will be accounted for consistent with a reorganization of entities under common control.</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been profitable, and since our inception, we have incurred significant operating losses. Our net loss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was $26.1 million and $46.9 million, respectively. As of March 31, 2026 and December 31, 2025, we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$1,352.3 million and $1,326.2 million, respectively. We expect to continue to incur significant expenses and operating losses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recognize collaboration revenue under the GSK Collaboration Agreement (as defined in Note 5 in the notes to our unaudited consolidated financial statements appearing elsewhere in this Quarterly Report on Form 10-Q), which became effective in January 2023. We have not generated any product revenue since our inception and do not expect to generate any revenue from the sale of products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which include:</w:t>
      </w:r>
    </w:p>
    <w:p>
      <w:pPr>
        <w:spacing w:after="0" w:line="54"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compensation-related expenses, including employee salaries, bonuses, share-based compensation expense and other related benefits expenses for personnel in our research and development organization;</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that conduct research, preclinical and clinical activities on our behalf, as well as contract manufacturing organizations (“CMOs”) that manufacture drug product for use in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related to our internal manufacturing of drug substance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third-party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supplies and services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including rent, maintenance and other general operating expenses.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primary research and development focus has been the development of our RNA medicines platform, PRISM. We are using PRISM, which combines multiple modalities, chemistry innovation and deep insights in human genetics, to deliver scientific breakthroughs that treat both rare and common disorders, and advance our pipeline of RNA medicines.</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expenses, facility-related expenses or other operating expenses to specific programs. These expenses, which are not allocated on a program-by-program basis, are included in the “Other research and development expenses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including PNPLA3, additional preclinical programs, PRISM” category along with other external expenses related to our discovery and development programs, as well as platform development and identification of potential drug discovery candidates.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3" w:name="page24"/>
    <w:bookmarkEnd w:id="23"/>
    <w:p>
      <w:pPr>
        <w:ind w:right="12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in the foreseeable future as we continue to manage our existing clinical trials, initiate additional clinical trials for certain product candidates, pursue later stages of clinical development for certain product candidates, maintain our manufacturing capabilities and continue to discover and develop additional product candidates in multiple therapeutic areas.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of directors. General and administrative expenses also include legal fees; expenses associated with being a public company; professional fees for accounting, auditing, tax and consulting services; insurance costs; travel expenses; other operating costs; and facility-related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income, net is comprised primarily of interest income on cash and cash equivalents and refundable tax credits from tax authorities. We recognize refundable tax credits when there is reasonable assurance that we will comply with the requirements of the refundable tax credit and that the refundable tax credit will be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Singapore multi-national company subject to taxation in the United States and various other jurisdictions.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of America. The preparation of our financial statements and related disclosures requires us to make estimates and assumptions that affect the reported amount of assets, liabilities, revenue, costs and expenses and related disclosures. Management considers many factors in selecting appropriate financial accounting policies and in developing the estimates and assumptions that are used in the preparation of the financial statements. Management must apply significant judgment in this process.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judgment, and therefore we consider them to be our critical accounting policies. We evaluate our estimates and assumptions on an ongoing basis. Our actual results may differ from these estimates under different assumptions and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(31,298)</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(26,087)</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(26,087)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-1645285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-1645285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-1362075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-1362075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-1079500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-1079500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2026 and 2025 was $38.2 million and $9.2 million, respectively, and is comprised of revenue earned under the GSK Collaboration Agreement. The year-over-year change in revenue was primarily driven by the recognition of the remaining deferred revenue related to the AATD performance obligation ($35.9 million), which was fully satisfied upon the termination of the AATD license, in the three months ended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320" w:type="dxa"/>
            <w:vAlign w:val="bottom"/>
            <w:tcBorders>
              <w:bottom w:val="single" w:sz="8" w:color="auto"/>
            </w:tcBorders>
            <w:gridSpan w:val="5"/>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INHBE program</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AATD program</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DMD program</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HD program</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7"/>
                <w:szCs w:val="17"/>
                <w:color w:val="auto"/>
              </w:rPr>
              <w:t>Other research and development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including PNPLA3,</w:t>
            </w:r>
          </w:p>
        </w:tc>
        <w:tc>
          <w:tcPr>
            <w:tcW w:w="96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preclinical programs, PRISM</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right="160" w:hanging="3"/>
        <w:spacing w:after="0" w:line="266"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expenses related to other research and development programs, identification of potential drug discovery candidates, compensation-related expenses, internal manufacturing expenses, equipment repairs and maintenance expense, facility-related expenses, and other operating expenses, which are not allocated to specific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$47.4 million for the three months ended March 31, 2026, compared to $40.6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increase of approximately $6.8 million was due to the following:</w:t>
      </w:r>
    </w:p>
    <w:p>
      <w:pPr>
        <w:spacing w:after="0" w:line="31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$2.3 million in external expenses related to our INHBE program, including WVE-007 (RNAi);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in external expenses related to our AATD program, WVE-006 (RNA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external expenses related to our DMD program, including WVE-N531 (splicing);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in external expenses related to our HD program, including WVE-003 (silencing); and</w:t>
      </w:r>
    </w:p>
    <w:p>
      <w:pPr>
        <w:spacing w:after="0" w:line="117" w:lineRule="exact"/>
        <w:rPr>
          <w:rFonts w:ascii="Times New Roman" w:cs="Times New Roman" w:eastAsia="Times New Roman" w:hAnsi="Times New Roman"/>
          <w:sz w:val="18"/>
          <w:szCs w:val="18"/>
          <w:color w:val="auto"/>
        </w:rPr>
      </w:pPr>
    </w:p>
    <w:p>
      <w:pPr>
        <w:jc w:val="both"/>
        <w:ind w:left="1020" w:right="14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$4.2 million in other research and development expenses, including PNPLA3, additional preclinical programs, PRISM, and internal and external research and development expenses that are not allocated on a program-by-program basis or are related to other discovery and development programs, and the identification of potential drug discovery candidates. This is mainly due to increases in compensation-related expenses, partially offset by decreases in other external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$22.1 million for the three months ended March 31, 2026, as compared to approximately $18.4 million for the three months ended March 31, 2025. The increase of approximately $3.7 million was primarily driven by increases in compensation-related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2026 and 2025 was $5.2 million and $2.9 million, respectively, and consisted primarily of interest income on cash and cash equivalents.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recorded no income tax benefit or provision. We maintained a full valuation allowance for the three months ended March 31, 2026 and 2025 in all jurisdictions due to uncertainty regarding future taxable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product revenue and have incurred recurring net operating losses. To date, we have primarily funded our operations through public and other registered offerings of our ordinary shares and other securities, collaborations with third parties and private placements of debt and equity securities. Through March 31, 2026, we have received an aggregate of approximately $2,086.7 million in net proceeds from these transactions, consisting of approximately $1,450.5 million in net proceeds from public and other registered offerings of our ordinary shares and other securities, $546.9 million from our collaborations and $89.3 million in net proceeds from private placements of our debt and equity securities.</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and cash equivalents totaling $544.6 million, restricted cash of $3.8 million and an accumulated deficit of $1,352.3 million.</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fund our operations for at least the next twelve months from the issuance date of these financial statements.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operating lease commitments as of March 31, 2026 total approximately $17.1 million, of which approximately $7.2 million is related to payments in 2026 and approximately $9.9 million is related to payments beyond 2026.</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12, 2024, we filed a shelf registration statement on Form S-3ASR with the SEC for which we registered for sale an indeterminate amount of any combination of our ordinary shares, debt securities, warrants, rights and/or units from time to time and at prices and on terms that we may determine, which we refer to as the “2024 WKSI Shelf”. Our 2024 WKSI Shelf includes a prospectus covering up to an aggregate of $250.0 million in ordinary shares that we are able to issue and sell from time to time, through Jefferies LLC acting as our sales agent, pursuant to the Open Market Sale Agreement, dated May 10, 2019, as amended by Amendment No. 1, dated as of March 2, 2020, Amendment No. 2, dated as of March 3, 2022, and Amendment No. 3, dated November 12, 2024, for our “at-the-market” equity program. For the three months ended March 31, 2026, we received no proceeds from sales of ordinary shares under our “at-the-market" equity program.</w:t>
      </w:r>
    </w:p>
    <w:p>
      <w:pPr>
        <w:spacing w:after="0" w:line="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320" w:type="dxa"/>
            <w:vAlign w:val="bottom"/>
            <w:gridSpan w:val="3"/>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w w:val="85"/>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(59,553)</w:t>
            </w:r>
          </w:p>
        </w:tc>
        <w:tc>
          <w:tcPr>
            <w:tcW w:w="11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(63,039)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104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(57,468)</w:t>
            </w:r>
          </w:p>
        </w:tc>
        <w:tc>
          <w:tcPr>
            <w:tcW w:w="11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(58,991)</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$59.6 million of cash, due to our net loss of $26.1 million and by changes in operating assets and liabilities of $44.8 million, offset by non-cash charges of $11.4 million. The largest changes in operating assets and liabilities were the $28.2 million decrease in deferred revenue and the $13.5 million decrease in accrued expenses and other current liabilities.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$63.0 million of cash, due to our net loss of $46.9 million and changes in operating assets and liabilities of $23.3 million, offset by non-cash charges of $7.1 million. The largest changes in operating assets and liabilities were the $13.3 million decrease in accrued expenses and other current liabilities and the $9.2 million decrease in deferred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investing activities used $0.4 million and $0.2 million, respectively, of cash, related to purchases of property and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$2.5 million, which was primarily due to $1.9 million in proceeds from the exercise of share options.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$4.2 million, which was primarily due to $2.5 million in proceeds from the exercise of share options and $1.3 million in net proceeds from sales under our “at-the-market” equity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research and development activities and our internal cGMP manufacturing activities. Furthermore, we anticipate that our expenses will continue to vary if and as we:</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clinical trials evaluating our product candidates in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preclinical development of discovery targets and advance additional programs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clinical trial applications with global regulatory agencies and conduct clinical trials for our programs;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continuing to innovate our research and development platform, PRISM, and in optimizing our manufacturing processes and formulations;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manufacturing capabilities through our internal facility and our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intellectual property portfolio and consider the acquisition of complementary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the impacts of local and global health epidemics, geopolitical conflicts, global economic uncertainty, rising inflation, tariffs, rising interest rates or market disruptions on our business;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capabilities to market, distribute and sell our product candidates.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may experience delays or encounter issues with any of the above, including but not limited to failed studies, complex results, safety issues or other regulatory challenges.</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future capital outlays and operating expenses associated with completing the research and development for our therapeutic programs. Our future capital requirements for our therapeutic programs will depend on many factors, including:</w:t>
      </w:r>
    </w:p>
    <w:p>
      <w:pPr>
        <w:spacing w:after="0" w:line="72" w:lineRule="exact"/>
        <w:rPr>
          <w:sz w:val="20"/>
          <w:szCs w:val="20"/>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conducting research and continued preclinical and clinical development for our therapeutic programs and future potential pipeline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and programs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milestone events are achieved under our collaboration with GSK or any potential future licensee or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local and global health epidemics, geopolitical conflicts, global economic uncertainty, tariffs, rising inflation, rising interest rates or market disruptions on our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7" w:name="page28"/>
    <w:bookmarkEnd w:id="27"/>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when we need them, or at all. We do not currently have any committed external source of funds, except for possible future payments from GSK under our collaboration with them.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Our cash and cash equivalents are comprised of funds held in checking accounts and money market accounts. The primary objective of our investment activities is to preserve our capital for the purpose of funding operations and we do not enter into investments for trading or speculative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three months ended March 31, 2026 and 2025, changes in foreign currency exchange rates did not have a material impact on our historical financial position, our business, our financial condition, our results of operations or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results of operations or cash flows in the last two years. If global inflation trends continue, we expect appreciable increases in clinical trial, labor, and other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possible source of funding is through further equity offerings. Our ability to raise funds in this manner depends upon capital market forces affecting our share price, including impacts of global economic uncertainty on the capital markets.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required by Rule 13a-15(d) and 15d-15(d) of the Exchange Act that occurred during the three months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under the caption “Risk Factors” that appear in Item 1A of our 2025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months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certain of our officers (as defined in Rule 16a-1(f) of the Exchange Act) and directors entered into contracts, instructions or written plans (each, a “Rule 10b5-1 Trading Plan” and collectively, the “Rule 10b5-1 Trading Plans”) for the purchase or sale of our securities that are intended to satisfy the conditions specified in Rule 10b5-1(c) under the Exchange Act for an affirmative defense against liability for trading in securities on the basis of material nonpublic information. We describe the material terms of these Rule 10b5-1 Trading Plans below.</w:t>
      </w:r>
    </w:p>
    <w:p>
      <w:pPr>
        <w:spacing w:after="0" w:line="1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6, 2026, Mark Corrigan, M.D., a member of our board of directors, adopted a Rule 10b5-1 Trading Plan providing for the sale of up to an aggregate of 31,500 of our ordinary shares pursuant to the terms of such Rule 10b5-1 Trading Plan. Dr. Corrigan’s Rule 10b5-1 Trading Plan is active until September 12, 2026, or earlier, if and when all transactions under the Rule 10b5-1 Trading Plan are completed.</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6, 2026, Adrian Rawcliffe, a member of our board of directors, adopted a Rule 10b5-1 Trading Plan providing for the sale of up to an aggregate of 33,700 of our ordinary shares pursuant to the terms of such Rule 10b5-1 Trading Plan. Mr. Rawcliffe’s Rule 10b5-1 Trading Plan is active until February 26, 2027, or earlier, if and when all transactions under the Rule 10b5-1 Trading Plan are completed.</w:t>
      </w:r>
    </w:p>
    <w:p>
      <w:pPr>
        <w:spacing w:after="0" w:line="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11, 2026, Gregory Verdine, Ph.D., a member of our board of directors, adopted a Rule 10b5-1 Trading Plan providing for the sale of up to an aggregate of 30,000 of our ordinary shares pursuant to the terms of such Rule 10b5-1 Trading Plan. Dr. Verdine’s Rule 10b5-1 Trading Plan is active until December 31, 2026, or earlier, if and when all transactions under the Rule 10b5-1 Trading Plan are completed.</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spacing w:after="0" w:line="266" w:lineRule="auto"/>
        <w:rPr>
          <w:sz w:val="20"/>
          <w:szCs w:val="20"/>
          <w:color w:val="auto"/>
        </w:rPr>
      </w:pPr>
      <w:r>
        <w:rPr>
          <w:rFonts w:ascii="Times New Roman" w:cs="Times New Roman" w:eastAsia="Times New Roman" w:hAnsi="Times New Roman"/>
          <w:sz w:val="18"/>
          <w:szCs w:val="18"/>
          <w:color w:val="auto"/>
        </w:rPr>
        <w:t>On March 6, 2026, Heidi Wagner, a member of our board of directors, adopted a Rule 10b5-1 Trading Plan providing for the sale of up to an aggregate of 28,000 of our ordinary shares pursuant to the terms of such Rule 10b5-1 Trading Plan. Ms. Wagner’s Rule 10b5-1 Trading Plan is active until March 5, 2027, or earlier, if and when all transactions under the Rule 10b5-1 Trading Plan are completed.</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such term is defined in Item 408(a) of Regulation S-K, during the fiscal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1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 of Principal Executive Officer and Principal</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Inline XBRL tags are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both"/>
        <w:ind w:right="280" w:firstLine="8"/>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Wave Life Sciences Ltd.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WAVE LIFE SCIENCES LTD.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 Bolno, M.D., MBA</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B. Bolno, M.D., MBA</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Moran, CFA</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Moran, CFA</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648"/>
        </w:trPr>
        <w:tc>
          <w:tcPr>
            <w:tcW w:w="3520" w:type="dxa"/>
            <w:vAlign w:val="bottom"/>
          </w:tcPr>
          <w:p>
            <w:pPr>
              <w:spacing w:after="0"/>
              <w:rPr>
                <w:sz w:val="24"/>
                <w:szCs w:val="24"/>
                <w:color w:val="auto"/>
              </w:rPr>
            </w:pPr>
          </w:p>
        </w:tc>
        <w:tc>
          <w:tcPr>
            <w:tcW w:w="2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516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 Bolno, M.D., MBA, certify that:</w:t>
      </w:r>
    </w:p>
    <w:p>
      <w:pPr>
        <w:spacing w:after="0" w:line="225"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Wave Life Sciences Ltd.;</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April 28, 2026</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Moran, certify that:</w:t>
      </w:r>
    </w:p>
    <w:p>
      <w:pPr>
        <w:spacing w:after="0" w:line="11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Wave Life Sciences Ltd.;</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right="32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81" w:right="339" w:bottom="1440" w:gutter="0" w:footer="0" w:header="0"/>
        </w:sectPr>
      </w:pP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April 28, 2026</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Moran,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546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Moran, CFA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7020" w:space="200"/>
            <w:col w:w="4020"/>
          </w:cols>
          <w:pgMar w:left="320" w:top="981"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Wave Life Sciences Ltd. (the “Company”), does hereby certify, to such officer’s knowledge, that:</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28,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 Bolno, M.D., MBA</w:t>
            </w:r>
          </w:p>
        </w:tc>
      </w:tr>
      <w:tr>
        <w:trPr>
          <w:trHeight w:val="191"/>
        </w:trPr>
        <w:tc>
          <w:tcPr>
            <w:tcW w:w="5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B. Bolno, M.D., MBA</w:t>
            </w:r>
          </w:p>
        </w:tc>
      </w:tr>
      <w:tr>
        <w:trPr>
          <w:trHeight w:val="216"/>
        </w:trPr>
        <w:tc>
          <w:tcPr>
            <w:tcW w:w="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28,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Moran, CFA</w:t>
            </w:r>
          </w:p>
        </w:tc>
      </w:tr>
      <w:tr>
        <w:trPr>
          <w:trHeight w:val="191"/>
        </w:trPr>
        <w:tc>
          <w:tcPr>
            <w:tcW w:w="5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Moran, CFA</w:t>
            </w:r>
          </w:p>
        </w:tc>
      </w:tr>
      <w:tr>
        <w:trPr>
          <w:trHeight w:val="216"/>
        </w:trPr>
        <w:tc>
          <w:tcPr>
            <w:tcW w:w="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195"/>
        </w:trPr>
        <w:tc>
          <w:tcPr>
            <w:tcW w:w="56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9"/>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2026-04-28T06:53:12Z</dcterms:created>
  <dcterms:modified xsi:type="dcterms:W3CDTF">2026-04-28T06:53:12Z</dcterms:modified>
</cp:coreProperties>
</file>