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4857d8k.htm"/>
      <w:bookmarkStart w:id="1" w:name="ksd4485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April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WAVE LIFE SCIENCES LTD.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Singapore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001-37627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98-1356880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7 Straits View #12-00, Marina One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East Tower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Singapore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018936</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+65 6236 3388</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95" w:type="dxa"/>
        <w:jc w:val="left"/>
        <w:tblInd w:w="0" w:type="dxa"/>
        <w:tblLayout w:type="fixed"/>
        <w:tblCellMar>
          <w:top w:w="0" w:type="dxa"/>
          <w:left w:w="0" w:type="dxa"/>
          <w:bottom w:w="0" w:type="dxa"/>
          <w:right w:w="0" w:type="dxa"/>
        </w:tblCellMar>
      </w:tblPr>
      <w:tblGrid>
        <w:gridCol w:w="2885"/>
        <w:gridCol w:w="60"/>
        <w:gridCol w:w="1160"/>
        <w:gridCol w:w="60"/>
        <w:gridCol w:w="2630"/>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28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885" w:type="dxa"/>
            <w:tcBorders/>
            <w:vAlign w:val="center"/>
          </w:tcPr>
          <w:p>
            <w:pPr>
              <w:pStyle w:val="TableContents"/>
              <w:bidi w:val="0"/>
              <w:spacing w:before="0" w:after="283"/>
              <w:jc w:val="center"/>
              <w:rPr/>
            </w:pPr>
            <w:r>
              <w:rPr/>
              <w:t>$0 Par Value Ordinary Shares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WVE</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21, 2026, Wave Life Sciences Ltd. (“Wave-Singapore”) issued a press release entitled “Wave Life Sciences Announces Hearing on Proposed Redomiciliation to the United States.” The press release is attached as Exhibit 99.1 hereto and is incorporated by reference herein.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120"/>
        <w:gridCol w:w="762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44857dex991.htm">
              <w:r>
                <w:rPr>
                  <w:rStyle w:val="InternetLink"/>
                </w:rPr>
                <w:t xml:space="preserve">Press Release, dated as of April 21,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its redomiciliation to the United States (the “Redomiciliation”), Wave-Singapore expects to file with the SEC a definitive proxy statement and other relevant documents. The definitive proxy statement will be mailed or otherwise disseminated to Wave-Singapore’s shareholders and will contain important information about the Redomiciliation. BEFORE MAKING ANY VOTING OR INVESTMENT DECISION, INVESTORS ARE URGED TO READ THE DEFINITIVE PROXY STATEMENT (INCLUDING ALL AMENDMENTS AND SUPPLEMENTS THERETO) AND OTHER RELEVANT DOCUMENTS FILED WITH THE SEC BECAUSE THEY WILL CONTAIN IMPORTANT INFORMATION ABOUT WAVE-SINGAPORE, WAVE-DELAWARE AND THE REDOMICILIATION. Investors may obtain copies of the definitive proxy statement (when available), as well as other filings containing information about Wave-Singapore, free of charge, at the SEC’s Internet website (http://www.sec.gov). Copies of these documents may also be obtained free of charge from Wave-Singapore’s website at www.wavelifesciences.com.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Solicitation </w:t>
      </w:r>
    </w:p>
    <w:p>
      <w:pPr>
        <w:pStyle w:val="TextBody"/>
        <w:bidi w:val="0"/>
        <w:spacing w:before="120" w:after="0"/>
        <w:jc w:val="left"/>
        <w:rPr>
          <w:rFonts w:ascii="Times New Roman" w:hAnsi="Times New Roman"/>
          <w:sz w:val="20"/>
        </w:rPr>
      </w:pPr>
      <w:r>
        <w:rPr>
          <w:rFonts w:ascii="Times New Roman" w:hAnsi="Times New Roman"/>
          <w:sz w:val="20"/>
        </w:rPr>
        <w:t xml:space="preserve">Wave-Singapore and certain of its executive officers and directors may be deemed to be participants in the solicitation of proxies from the shareholders of Wave-Singapore in connection with the Redomiciliation. Information about the directors and executive officers of Wave-Singapore, including a description of their direct or indirect interests, by security holdings or otherwise, is set forth in Wave-Singapore’s proxy statement for its 2025 Annual Meeting of Shareholders, which was filed with the SEC on June 23, 2025. To the extent holdings of Wave-Singapore Ordinary Shares by the directors and executive officers of Wave-Singapore have changed from the amounts of Wave-Singapore’s Ordinary Shares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or to be filed with the SEC, as applicable. Other information regarding the participants in the proxy solicitations and a description of their direct and indirect interests, by security holdings or otherwise, will be contained in the definitive proxy statement when it is filed with the SEC and other relevant materials to be filed with the SEC regarding the Redomiciliation when such materials become available. You may obtain free copies of these documents as described in the preceding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references in this Current Report on Form 8-K to “Wave”, “the Company”, “our Company”, “we”, “our”, “us” and similar terms are to Wave-Singapore. Some of the statements included in this announcement and the documents referred to herein may include “forward-looking statements” within the meaning of the Private Securities Litigation Reform Act of 1995, in particular, statements about our expectations regarding the change of the parent company of the group from a Singapore company to a Delaware corporation. These statements include, but are not limited to, statements that address our expected future business and financial performance and statements about the Redomiciliation and other statements identified by words such as “will”, “expect”, “believe”, “anticipate”, “estimate”, “should”, “intend”, “plan”, “potential”, “predict”, “project”, “aim”, and similar words, phrases or expressions. These forward-looking statements are based on current expectations and beliefs of the management of Wave-Singapore, as well as assumptions made by, and information currently available to, such management, current market trends and market conditions and involve risks and uncertainties, many of which are outside Wave-Singapore’s and management’s control, and which may cause actual results to differ materially from those contained in forward looking statements. Accordingly, you should not place undue reliance on such statements.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Particular uncertainties that could materially affect future results include risks associated with the Redomiciliation, including our ability to obtain shareholder and Singapore Court approvals and satisfy other closing conditions to the completion of the Redomiciliation within the expected timeframe or at all; our ability to realize the expected benefits from the Redomiciliation; the occurrence of difficulties or material timing delays in connection with the Redomiciliation, including any unanticipated costs in connection therewith; any delays, challenges and expenses associated with receiving governmental and regulatory approvals; changes in tax laws, tax treaties or tax regulations or the interpretation or enforcement thereof by the tax authorities in Singapore, the United States and other jurisdictions following the Redomiciliation; our critical accounting policies;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and any impacts on our business as a result of or related to any local and global health epidemics, geopolitical conflicts, global economic uncertainty, the impact of tariffs and changes in economic policies, volatility in inflation, volatility in interest rates or market disruptions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review of important factors should not be construed as exhaustive and should be read in conjunction with the other cautionary statements that are set forth in our preliminary proxy statement filed on April 15, 2026 and our most recent Annual Report on Form 10-K, Quarterly Reports on Form 10-Q and the other documents that we file with the SEC, including under the heading “Risk Factors” in our most recent Annual Report on Form 10-K. You may obtain copies of these documents as described under the heading “Additional Information and Where to Find It.”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in this Current Report on Form 8-K is as of the date of this Current Report on Form 8-K and Wave-Singapore undertakes no duty to update this information unless required by law.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918" w:type="dxa"/>
        <w:jc w:val="left"/>
        <w:tblInd w:w="0" w:type="dxa"/>
        <w:tblLayout w:type="fixed"/>
        <w:tblCellMar>
          <w:top w:w="0" w:type="dxa"/>
          <w:left w:w="0" w:type="dxa"/>
          <w:bottom w:w="0" w:type="dxa"/>
          <w:right w:w="0" w:type="dxa"/>
        </w:tblCellMar>
      </w:tblPr>
      <w:tblGrid>
        <w:gridCol w:w="2000"/>
        <w:gridCol w:w="60"/>
        <w:gridCol w:w="23"/>
        <w:gridCol w:w="60"/>
        <w:gridCol w:w="365"/>
        <w:gridCol w:w="60"/>
        <w:gridCol w:w="3350"/>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b/>
              </w:rPr>
            </w:pPr>
            <w:r>
              <w:rPr>
                <w:b/>
              </w:rPr>
              <w:t>WAVE LIFE SCIENCES LTD.</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April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/s/ </w:t>
            </w:r>
            <w:r>
              <w:rPr>
                <w:rFonts w:ascii="Times New Roman" w:hAnsi="Times New Roman"/>
                <w:i/>
                <w:sz w:val="20"/>
              </w:rPr>
              <w:t>Kyle Moran, CFA</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Kyle Moran, CFA</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44857dex991.htm"/>
      <w:bookmarkStart w:id="3" w:name="ksd4485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91920" cy="746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1920" cy="7467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Wave Life Sciences Announces Hearing on </w:t>
      </w:r>
    </w:p>
    <w:p>
      <w:pPr>
        <w:pStyle w:val="TextBody"/>
        <w:bidi w:val="0"/>
        <w:spacing w:before="0" w:after="0"/>
        <w:jc w:val="center"/>
        <w:rPr>
          <w:rFonts w:ascii="Times New Roman" w:hAnsi="Times New Roman"/>
          <w:b/>
          <w:sz w:val="20"/>
        </w:rPr>
      </w:pPr>
      <w:r>
        <w:rPr>
          <w:rFonts w:ascii="Times New Roman" w:hAnsi="Times New Roman"/>
          <w:b/>
          <w:sz w:val="20"/>
        </w:rPr>
        <w:t xml:space="preserve">Proposed Redomiciliation to the United States </w:t>
      </w:r>
    </w:p>
    <w:p>
      <w:pPr>
        <w:pStyle w:val="TextBody"/>
        <w:bidi w:val="0"/>
        <w:spacing w:before="240" w:after="0"/>
        <w:jc w:val="left"/>
        <w:rPr>
          <w:rFonts w:ascii="Times New Roman" w:hAnsi="Times New Roman"/>
          <w:sz w:val="20"/>
        </w:rPr>
      </w:pPr>
      <w:r>
        <w:rPr>
          <w:rFonts w:ascii="Times New Roman" w:hAnsi="Times New Roman"/>
          <w:b/>
          <w:sz w:val="20"/>
        </w:rPr>
        <w:t>CAMBRIDGE, Mass., April</w:t>
      </w:r>
      <w:r>
        <w:rPr>
          <w:rFonts w:ascii="Times New Roman" w:hAnsi="Times New Roman"/>
          <w:sz w:val="20"/>
        </w:rPr>
        <w:t> </w:t>
      </w:r>
      <w:r>
        <w:rPr>
          <w:rFonts w:ascii="Times New Roman" w:hAnsi="Times New Roman"/>
          <w:b/>
          <w:sz w:val="20"/>
        </w:rPr>
        <w:t>21, 2026</w:t>
      </w:r>
      <w:r>
        <w:rPr>
          <w:rFonts w:ascii="Times New Roman" w:hAnsi="Times New Roman"/>
          <w:sz w:val="20"/>
        </w:rPr>
        <w:t xml:space="preserve"> – As previously announced, Wave Life Sciences Ltd. (Nasdaq: WVE), a clinical-stage biotechnology company focused on unlocking the broad potential of RNA medicines to transform human health, is seeking shareholders’ and Singapore High Court approvals in relation to a scheme of arrangement under Section 210 of the Companies Act 1967 of Singapore (the “Scheme of Arrangement”), in order to redomicile the parent company of the Wave Life Sciences group of companies from Singapore to the United States (the “Redomiciliation”). </w:t>
      </w:r>
    </w:p>
    <w:p>
      <w:pPr>
        <w:pStyle w:val="TextBody"/>
        <w:bidi w:val="0"/>
        <w:spacing w:before="240" w:after="0"/>
        <w:jc w:val="left"/>
        <w:rPr>
          <w:rFonts w:ascii="Times New Roman" w:hAnsi="Times New Roman"/>
          <w:sz w:val="20"/>
        </w:rPr>
      </w:pPr>
      <w:r>
        <w:rPr>
          <w:rFonts w:ascii="Times New Roman" w:hAnsi="Times New Roman"/>
          <w:sz w:val="20"/>
        </w:rPr>
        <w:t xml:space="preserve">Wave has made an application on April 16, 2026 (Singapore Time) to the Singapore High Court for approval to convene the meeting at which shareholder approval for the Scheme of Arrangement will be sought, as filed HC/OA 434/2026, which application will be heard before the Singapore High Court on April 29, 2026 at 10:00 am (Singapore Time), at 1 Supreme Court Lane, Singapore 178879. The Singapore High Court has directed that any affidavits in response to the application must be submitted to the Singapore High Court by 4:00 pm (Singapore Time) on April 22, 2026, and that any written submissions or bundle of authorities must be filed with the Singapore High Court by 4:00 pm (Singapore Time) on April 24, 2026. </w:t>
      </w:r>
    </w:p>
    <w:p>
      <w:pPr>
        <w:pStyle w:val="TextBody"/>
        <w:bidi w:val="0"/>
        <w:spacing w:before="240" w:after="0"/>
        <w:jc w:val="left"/>
        <w:rPr>
          <w:rFonts w:ascii="Times New Roman" w:hAnsi="Times New Roman"/>
          <w:sz w:val="20"/>
        </w:rPr>
      </w:pPr>
      <w:r>
        <w:rPr>
          <w:rFonts w:ascii="Times New Roman" w:hAnsi="Times New Roman"/>
          <w:sz w:val="20"/>
        </w:rPr>
        <w:t xml:space="preserve">A copy of the materials filed with the application and the related directions provided by the Singapore High Court, will be made available under the Corporate Governance section of our Investor Relations website. </w:t>
      </w:r>
    </w:p>
    <w:p>
      <w:pPr>
        <w:pStyle w:val="TextBody"/>
        <w:bidi w:val="0"/>
        <w:spacing w:before="240" w:after="0"/>
        <w:jc w:val="left"/>
        <w:rPr>
          <w:rFonts w:ascii="Times New Roman" w:hAnsi="Times New Roman"/>
          <w:sz w:val="20"/>
        </w:rPr>
      </w:pPr>
      <w:r>
        <w:rPr>
          <w:rFonts w:ascii="Times New Roman" w:hAnsi="Times New Roman"/>
          <w:sz w:val="20"/>
        </w:rPr>
        <w:t xml:space="preserve">The Scheme of Arrangement remains subject to approval by Wave shareholders and the Singapore High Court. </w:t>
      </w:r>
    </w:p>
    <w:p>
      <w:pPr>
        <w:pStyle w:val="TextBody"/>
        <w:bidi w:val="0"/>
        <w:spacing w:before="360" w:after="0"/>
        <w:jc w:val="left"/>
        <w:rPr>
          <w:rFonts w:ascii="Times New Roman" w:hAnsi="Times New Roman"/>
          <w:sz w:val="20"/>
        </w:rPr>
      </w:pPr>
      <w:r>
        <w:rPr>
          <w:rFonts w:ascii="Times New Roman" w:hAnsi="Times New Roman"/>
          <w:b/>
          <w:sz w:val="20"/>
        </w:rPr>
        <w:t>About</w:t>
      </w:r>
      <w:r>
        <w:rPr>
          <w:rFonts w:ascii="Times New Roman" w:hAnsi="Times New Roman"/>
          <w:sz w:val="20"/>
        </w:rPr>
        <w:t> </w:t>
      </w:r>
      <w:r>
        <w:rPr>
          <w:rFonts w:ascii="Times New Roman" w:hAnsi="Times New Roman"/>
          <w:b/>
          <w:sz w:val="20"/>
        </w:rPr>
        <w:t xml:space="preserve">Wave Life Sciences </w:t>
      </w:r>
    </w:p>
    <w:p>
      <w:pPr>
        <w:pStyle w:val="TextBody"/>
        <w:bidi w:val="0"/>
        <w:spacing w:before="120" w:after="0"/>
        <w:jc w:val="left"/>
        <w:rPr>
          <w:rFonts w:ascii="Times New Roman" w:hAnsi="Times New Roman"/>
          <w:sz w:val="20"/>
        </w:rPr>
      </w:pPr>
      <w:r>
        <w:rPr>
          <w:rFonts w:ascii="Times New Roman" w:hAnsi="Times New Roman"/>
          <w:sz w:val="20"/>
        </w:rPr>
        <w:t xml:space="preserve">Wave Life Sciences (Nasdaq: WVE) is a biotechnology company focused on unlocking the broad potential of RNA medicines to transform human health. Wave’s RNA medicines platform, PRISM®, combines multiple modalities, chemistry innovation and deep insights in human genetics to deliver scientific breakthroughs that treat both rare and common disorders. Its toolkit of RNA-targeting modalities, including RNAi (SpiNA) and RNA editing (AIMers), provides Wave with unmatched capabilities for designing and sustainably delivering candidates that optimally address disease biology. Wave’s pipeline is focused on its obesity (WVE-007), alpha-1 antitrypsin deficiency (WVE-006) and PNPLA3 I148M liver disease (WVE-008) programs, and also includes clinical programs in Duchenne muscular dystrophy and Huntington’s disease, as well as several preclinical programs utilizing the company’s versatile RNA medicines platform. Driven by the calling to “Reimagine Possible,” Wave is leading the charge toward a world in which human potential is no longer hindered by the burden of disease. Wave is headquartered in Cambridge, MA. For more information on Wave’s science, pipeline and people, please visit </w:t>
      </w:r>
      <w:r>
        <w:rPr>
          <w:rFonts w:ascii="Times New Roman" w:hAnsi="Times New Roman"/>
          <w:sz w:val="20"/>
          <w:u w:val="single"/>
        </w:rPr>
        <w:t>www.wavelifesciences.com</w:t>
      </w:r>
      <w:r>
        <w:rPr>
          <w:rFonts w:ascii="Times New Roman" w:hAnsi="Times New Roman"/>
          <w:sz w:val="20"/>
        </w:rPr>
        <w:t xml:space="preserve"> and follow Wave on </w:t>
      </w:r>
      <w:r>
        <w:rPr>
          <w:rFonts w:ascii="Times New Roman" w:hAnsi="Times New Roman"/>
          <w:sz w:val="20"/>
          <w:u w:val="single"/>
        </w:rPr>
        <w:t>X</w:t>
      </w:r>
      <w:r>
        <w:rPr>
          <w:rFonts w:ascii="Times New Roman" w:hAnsi="Times New Roman"/>
          <w:sz w:val="20"/>
        </w:rPr>
        <w:t xml:space="preserve"> and </w:t>
      </w:r>
      <w:r>
        <w:rPr>
          <w:rFonts w:ascii="Times New Roman" w:hAnsi="Times New Roman"/>
          <w:sz w:val="20"/>
          <w:u w:val="single"/>
        </w:rPr>
        <w:t>LinkedIn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Some of the statements included in this announcement may include “forward-looking statements” within the meaning of the Private Securities Litigation Reform Act of 1995, in particular, statements about our expectations regarding the change of the parent company of the group from a Singapore company to a Delaware corporation. These statements include, but are not limited to, statements that address our expected future business and statements about the Redomiciliation and other statements identified by words such as “will”, “expect”, “believe”, “anticipate”, “estimate”, “should”, “intend”, “plan”, “potential”, “predict”, “project”, “aim”,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similar words, phrases or expressions. These forward-looking statements are based on current expectations and beliefs of the management of Wave Life Sciences, as well as assumptions made by, and information currently available to, such management, current market trends and market conditions and involve risks and uncertainties, many of which are outside Wave Life Sciences’ and management’s control, and which may cause actual results to differ materially from those contained in forward looking statements. Accordingly, you should not place undue reliance on such statements. </w:t>
      </w:r>
    </w:p>
    <w:p>
      <w:pPr>
        <w:pStyle w:val="TextBody"/>
        <w:bidi w:val="0"/>
        <w:spacing w:before="240" w:after="0"/>
        <w:jc w:val="left"/>
        <w:rPr>
          <w:rFonts w:ascii="Times New Roman" w:hAnsi="Times New Roman"/>
          <w:sz w:val="20"/>
        </w:rPr>
      </w:pPr>
      <w:r>
        <w:rPr>
          <w:rFonts w:ascii="Times New Roman" w:hAnsi="Times New Roman"/>
          <w:sz w:val="20"/>
        </w:rPr>
        <w:t xml:space="preserve">Particular uncertainties that could materially affect future results include risks associated with the Redomiciliation, including our ability to obtain shareholder and Singapore High Court approvals and satisfy other closing conditions to the completion of the Redomiciliation within the expected timeframe or at all; our ability to realize the expected benefits from the Redomiciliation; the occurrence of difficulties or material timing delays in connection with the Redomiciliation, including any unanticipated costs in connection therewith; any delays, challenges and expenses associated with receiving governmental and regulatory approvals; changes in tax laws, tax treaties or tax regulations or the interpretation or enforcement thereof by the tax authorities in Singapore, the United States and other jurisdictions following the Redomiciliation; our critical accounting policies;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and any impacts on our business as a result of or related to any local and global health epidemics, geopolitical conflicts, global economic uncertainty, the impact of tariffs and changes in economic policies, volatility in inflation, volatility in interest rates or market disruptions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review of important factors should not be construed as exhaustive and should be read in conjunction with the other cautionary statements that are set forth in our preliminary proxy statement filed on April 15, 2026 and our most recent Annual Report on Form 10-K, Quarterly Reports on Form 10-Q and the other documents that we file with the SEC, including under the heading “Risk Factors” in our most recent Annual Report on Form 10-K. You may obtain copies of these documents as described under the heading “Additional Information and Where to Find It.”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Redomiciliation, Wave Life Sciences expects to file with the SEC a definitive proxy statement and other relevant documents. The definitive proxy statement will be mailed or otherwise disseminated to Wave Life Sciences’ shareholders and will contain important information about the Redomiciliation. BEFORE MAKING ANY VOTING OR INVESTMENT DECISION, INVESTORS ARE URGED TO READ THE DEFINITIVE PROXY STATEMENT (INCLUDING ALL AMENDMENTS AND SUPPLEMENTS THERETO) AND OTHER RELEVANT DOCUMENTS FILED WITH THE SEC BECAUSE THEY WILL CONTAIN IMPORTANT INFORMATION ABOUT WAVE LIFE SCIENCES LTD., WAVE LIFE SCIENCES, INC. AND THE REDOMICILIATION. Investors may obtain copies of the definitive proxy statement (when available), as well as other filings containing information about Wave Life Sciences, free of charge, at the SEC’s Internet website (http://www.sec.gov). Copies of these documents may also be obtained free of charge from Wave Life Sciences’ website at www.wavelifesciences.com.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Solicitation </w:t>
      </w:r>
    </w:p>
    <w:p>
      <w:pPr>
        <w:pStyle w:val="TextBody"/>
        <w:bidi w:val="0"/>
        <w:spacing w:before="120" w:after="0"/>
        <w:jc w:val="left"/>
        <w:rPr>
          <w:rFonts w:ascii="Times New Roman" w:hAnsi="Times New Roman"/>
          <w:sz w:val="20"/>
        </w:rPr>
      </w:pPr>
      <w:r>
        <w:rPr>
          <w:rFonts w:ascii="Times New Roman" w:hAnsi="Times New Roman"/>
          <w:sz w:val="20"/>
        </w:rPr>
        <w:t xml:space="preserve">Wave Life Sciences and certain of its executive officers and directors may be deemed to be participants in the solicitation of proxies from the shareholders of Wave Life Sciences in connection with the Redomiciliation. Information about the directors and executive officers of Wave Life Sciences, including a description of their direct or indirect interests, by security holdings or otherwise, is set forth in Wave Life Sciences’ proxy statement for its 2025 Annual Meeting of Shareholders, which was filed with the SEC on June 23, 2025. To the extent holdings of Wave Life Sciences ordinary shares by the directors and executive officers of Wave Life Sciences have changed from the amounts of Wave Life Sciences ordinary shares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or to be filed with the SEC, as applicable. Other information regarding the participants in the proxy solicitations and a description of their direct and indirect interests, by security holdings or otherwise, will be contained in the definitive proxy statement when it is filed with the SEC and other relevant materials to be filed with the SEC regarding the Redomiciliation when such materials become available. You may obtain free copies of these documents as described in the preceding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Kate Rausch </w:t>
      </w:r>
    </w:p>
    <w:p>
      <w:pPr>
        <w:pStyle w:val="TextBody"/>
        <w:bidi w:val="0"/>
        <w:spacing w:before="0" w:after="0"/>
        <w:jc w:val="left"/>
        <w:rPr>
          <w:rFonts w:ascii="Times New Roman" w:hAnsi="Times New Roman"/>
          <w:sz w:val="20"/>
        </w:rPr>
      </w:pPr>
      <w:r>
        <w:rPr>
          <w:rFonts w:ascii="Times New Roman" w:hAnsi="Times New Roman"/>
          <w:sz w:val="20"/>
        </w:rPr>
        <w:t xml:space="preserve">VP, Corporate Affairs and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+1 617-949-4827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James Salierno </w:t>
      </w:r>
    </w:p>
    <w:p>
      <w:pPr>
        <w:pStyle w:val="TextBody"/>
        <w:bidi w:val="0"/>
        <w:spacing w:before="0" w:after="0"/>
        <w:jc w:val="left"/>
        <w:rPr>
          <w:rFonts w:ascii="Times New Roman" w:hAnsi="Times New Roman"/>
          <w:sz w:val="20"/>
        </w:rPr>
      </w:pPr>
      <w:r>
        <w:rPr>
          <w:rFonts w:ascii="Times New Roman" w:hAnsi="Times New Roman"/>
          <w:sz w:val="20"/>
        </w:rPr>
        <w:t xml:space="preserve">Director,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+1 617-949-4043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InvestorRelations@wavelifesci.com </w:t>
      </w:r>
    </w:p>
    <w:p>
      <w:pPr>
        <w:pStyle w:val="TextBody"/>
        <w:bidi w:val="0"/>
        <w:spacing w:before="36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Katie Sullivan </w:t>
      </w:r>
    </w:p>
    <w:p>
      <w:pPr>
        <w:pStyle w:val="TextBody"/>
        <w:bidi w:val="0"/>
        <w:spacing w:before="0" w:after="0"/>
        <w:jc w:val="left"/>
        <w:rPr>
          <w:rFonts w:ascii="Times New Roman" w:hAnsi="Times New Roman"/>
          <w:sz w:val="20"/>
        </w:rPr>
      </w:pPr>
      <w:r>
        <w:rPr>
          <w:rFonts w:ascii="Times New Roman" w:hAnsi="Times New Roman"/>
          <w:sz w:val="20"/>
        </w:rPr>
        <w:t xml:space="preserve">Senior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+1 617-949-2936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MediaRelations@wavelifesci.com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2977</Words>
  <Characters>17224</Characters>
  <CharactersWithSpaces>20208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