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367205ds8pos.htm"/>
      <w:bookmarkStart w:id="1" w:name="ksd367205ds8pos"/>
      <w:bookmarkEnd w:id="0"/>
      <w:bookmarkEnd w:id="1"/>
      <w:r>
        <w:rPr>
          <w:rFonts w:ascii="Times New Roman" w:hAnsi="Times New Roman"/>
          <w:b/>
          <w:sz w:val="20"/>
        </w:rPr>
        <w:t xml:space="preserve">Registration No. 333-208598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333-221480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333-228308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333-233054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333-234519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333-243491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333-243515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333-259196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333-260948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333-268286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333-275420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333-275421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333-283123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333-283125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333-291408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333-291409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POST-EFFECTIVE AMENDMENT NO. 1 TO FORM S-8 REGISTRATION STATEMENT NO. 333-208598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333-221480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333-228308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333-233054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333-234519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333-243491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333-243515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333-259196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333-260948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333-268286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333-275420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333-275421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333-283123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333-283125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333-291408 </w:t>
      </w:r>
    </w:p>
    <w:p>
      <w:pPr>
        <w:pStyle w:val="TextBody"/>
        <w:bidi w:val="0"/>
        <w:spacing w:before="0" w:after="0"/>
        <w:jc w:val="center"/>
        <w:rPr>
          <w:rFonts w:ascii="Times New Roman" w:hAnsi="Times New Roman"/>
          <w:b/>
          <w:sz w:val="20"/>
        </w:rPr>
      </w:pPr>
      <w:r>
        <w:rPr>
          <w:rFonts w:ascii="Times New Roman" w:hAnsi="Times New Roman"/>
          <w:b/>
          <w:sz w:val="20"/>
        </w:rPr>
        <w:t xml:space="preserve">POST-EFFECTIVE AMENDMENT NO. 1 TO FORM S-8 REGISTRATION STATEMENT NO. 333-291409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42-2115035</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733 Concord Avenue </w:t>
      </w:r>
    </w:p>
    <w:p>
      <w:pPr>
        <w:pStyle w:val="TextBody"/>
        <w:bidi w:val="0"/>
        <w:spacing w:before="0" w:after="0"/>
        <w:jc w:val="center"/>
        <w:rPr>
          <w:rFonts w:ascii="Times New Roman" w:hAnsi="Times New Roman"/>
          <w:b/>
          <w:sz w:val="20"/>
        </w:rPr>
      </w:pPr>
      <w:r>
        <w:rPr>
          <w:rFonts w:ascii="Times New Roman" w:hAnsi="Times New Roman"/>
          <w:b/>
          <w:sz w:val="20"/>
        </w:rPr>
        <w:t xml:space="preserve">Cambridge, MA 02138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Wave Life Sciences Ltd. 2014 Equity Incentive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2019 Employee Share Purchase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Share Option Agreement dated May 15, 2020 </w:t>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Share Option Agreement dated December 1, 2020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Share Unit Agreement dated December 1, 2020 </w:t>
      </w:r>
    </w:p>
    <w:p>
      <w:pPr>
        <w:pStyle w:val="TextBody"/>
        <w:bidi w:val="0"/>
        <w:spacing w:before="0" w:after="0"/>
        <w:jc w:val="center"/>
        <w:rPr>
          <w:rFonts w:ascii="Times New Roman" w:hAnsi="Times New Roman"/>
          <w:b/>
          <w:sz w:val="20"/>
        </w:rPr>
      </w:pPr>
      <w:r>
        <w:rPr>
          <w:rFonts w:ascii="Times New Roman" w:hAnsi="Times New Roman"/>
          <w:b/>
          <w:sz w:val="20"/>
        </w:rPr>
        <w:t xml:space="preserve">Wave Life Sciences Ltd. 2021 Equity Incentive Plan, as amended </w:t>
      </w:r>
    </w:p>
    <w:p>
      <w:pPr>
        <w:pStyle w:val="TextBody"/>
        <w:bidi w:val="0"/>
        <w:spacing w:before="0" w:after="0"/>
        <w:jc w:val="center"/>
        <w:rPr>
          <w:rFonts w:ascii="Times New Roman" w:hAnsi="Times New Roman"/>
          <w:b/>
          <w:sz w:val="20"/>
        </w:rPr>
      </w:pPr>
      <w:r>
        <w:rPr>
          <w:rFonts w:ascii="Times New Roman" w:hAnsi="Times New Roman"/>
          <w:b/>
          <w:sz w:val="20"/>
        </w:rPr>
        <w:t xml:space="preserve">Inducement Non-qualified Share Option Agreement dated May 8, 2024 </w:t>
      </w:r>
    </w:p>
    <w:p>
      <w:pPr>
        <w:pStyle w:val="TextBody"/>
        <w:bidi w:val="0"/>
        <w:spacing w:before="0" w:after="0"/>
        <w:jc w:val="center"/>
        <w:rPr>
          <w:rFonts w:ascii="Times New Roman" w:hAnsi="Times New Roman"/>
          <w:b/>
          <w:sz w:val="20"/>
        </w:rPr>
      </w:pPr>
      <w:r>
        <w:rPr>
          <w:rFonts w:ascii="Times New Roman" w:hAnsi="Times New Roman"/>
          <w:b/>
          <w:sz w:val="20"/>
        </w:rPr>
        <w:t xml:space="preserve">Inducement Restricted Share Unit Agreement dated May 8, 2024 </w:t>
      </w:r>
    </w:p>
    <w:p>
      <w:pPr>
        <w:pStyle w:val="TextBody"/>
        <w:bidi w:val="0"/>
        <w:spacing w:before="0" w:after="0"/>
        <w:jc w:val="center"/>
        <w:rPr>
          <w:rFonts w:ascii="Times New Roman" w:hAnsi="Times New Roman"/>
          <w:b/>
          <w:sz w:val="20"/>
        </w:rPr>
      </w:pPr>
      <w:r>
        <w:rPr>
          <w:rFonts w:ascii="Times New Roman" w:hAnsi="Times New Roman"/>
          <w:b/>
          <w:sz w:val="20"/>
        </w:rPr>
        <w:t xml:space="preserve">Inducement Non-qualified Share Option Agreement dated May 27, 2025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The Corporation Trust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1209 Orange Street </w:t>
      </w:r>
    </w:p>
    <w:p>
      <w:pPr>
        <w:pStyle w:val="TextBody"/>
        <w:bidi w:val="0"/>
        <w:spacing w:before="0" w:after="0"/>
        <w:jc w:val="center"/>
        <w:rPr>
          <w:rFonts w:ascii="Times New Roman" w:hAnsi="Times New Roman"/>
          <w:b/>
          <w:sz w:val="20"/>
        </w:rPr>
      </w:pPr>
      <w:r>
        <w:rPr>
          <w:rFonts w:ascii="Times New Roman" w:hAnsi="Times New Roman"/>
          <w:b/>
          <w:sz w:val="20"/>
        </w:rPr>
        <w:t xml:space="preserve">Wilmington, DE 19801 </w:t>
      </w:r>
    </w:p>
    <w:p>
      <w:pPr>
        <w:pStyle w:val="TextBody"/>
        <w:bidi w:val="0"/>
        <w:spacing w:before="0" w:after="0"/>
        <w:jc w:val="center"/>
        <w:rPr>
          <w:rFonts w:ascii="Times New Roman" w:hAnsi="Times New Roman"/>
          <w:b/>
          <w:sz w:val="20"/>
        </w:rPr>
      </w:pPr>
      <w:r>
        <w:rPr>
          <w:rFonts w:ascii="Times New Roman" w:hAnsi="Times New Roman"/>
          <w:b/>
          <w:sz w:val="20"/>
        </w:rPr>
        <w:t xml:space="preserve">(800) 677-3394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0"/>
              <w:jc w:val="center"/>
              <w:rPr>
                <w:rFonts w:ascii="Times New Roman" w:hAnsi="Times New Roman"/>
                <w:b/>
                <w:sz w:val="20"/>
              </w:rPr>
            </w:pPr>
            <w:r>
              <w:rPr>
                <w:rFonts w:ascii="Times New Roman" w:hAnsi="Times New Roman"/>
                <w:b/>
                <w:sz w:val="20"/>
              </w:rPr>
              <w:t>Mark Bekheit</w:t>
            </w:r>
          </w:p>
          <w:p>
            <w:pPr>
              <w:pStyle w:val="TableContents"/>
              <w:bidi w:val="0"/>
              <w:spacing w:before="0" w:after="0"/>
              <w:jc w:val="center"/>
              <w:rPr>
                <w:rFonts w:ascii="Times New Roman" w:hAnsi="Times New Roman"/>
                <w:b/>
                <w:sz w:val="20"/>
              </w:rPr>
            </w:pPr>
            <w:r>
              <w:rPr>
                <w:rFonts w:ascii="Times New Roman" w:hAnsi="Times New Roman"/>
                <w:b/>
                <w:sz w:val="20"/>
              </w:rPr>
              <w:t>Drew Capurro</w:t>
            </w:r>
          </w:p>
          <w:p>
            <w:pPr>
              <w:pStyle w:val="TableContents"/>
              <w:bidi w:val="0"/>
              <w:spacing w:before="0" w:after="0"/>
              <w:jc w:val="center"/>
              <w:rPr>
                <w:rFonts w:ascii="Times New Roman" w:hAnsi="Times New Roman"/>
                <w:b/>
                <w:sz w:val="20"/>
              </w:rPr>
            </w:pPr>
            <w:r>
              <w:rPr>
                <w:rFonts w:ascii="Times New Roman" w:hAnsi="Times New Roman"/>
                <w:b/>
                <w:sz w:val="20"/>
              </w:rPr>
              <w:t>Lauren Lefcoe</w:t>
            </w:r>
          </w:p>
          <w:p>
            <w:pPr>
              <w:pStyle w:val="TableContents"/>
              <w:bidi w:val="0"/>
              <w:spacing w:before="0" w:after="0"/>
              <w:jc w:val="center"/>
              <w:rPr>
                <w:rFonts w:ascii="Times New Roman" w:hAnsi="Times New Roman"/>
                <w:b/>
                <w:sz w:val="20"/>
              </w:rPr>
            </w:pPr>
            <w:r>
              <w:rPr>
                <w:rFonts w:ascii="Times New Roman" w:hAnsi="Times New Roman"/>
                <w:b/>
                <w:sz w:val="20"/>
              </w:rPr>
              <w:t>Latham &amp; Watkins LLP</w:t>
            </w:r>
          </w:p>
          <w:p>
            <w:pPr>
              <w:pStyle w:val="TableContents"/>
              <w:bidi w:val="0"/>
              <w:spacing w:before="0" w:after="0"/>
              <w:jc w:val="center"/>
              <w:rPr>
                <w:rFonts w:ascii="Times New Roman" w:hAnsi="Times New Roman"/>
                <w:b/>
                <w:sz w:val="20"/>
              </w:rPr>
            </w:pPr>
            <w:r>
              <w:rPr>
                <w:rFonts w:ascii="Times New Roman" w:hAnsi="Times New Roman"/>
                <w:b/>
                <w:sz w:val="20"/>
              </w:rPr>
              <w:t>801 Jefferson Avenue, Suite 300</w:t>
            </w:r>
          </w:p>
          <w:p>
            <w:pPr>
              <w:pStyle w:val="TableContents"/>
              <w:bidi w:val="0"/>
              <w:spacing w:before="0" w:after="0"/>
              <w:jc w:val="center"/>
              <w:rPr>
                <w:rFonts w:ascii="Times New Roman" w:hAnsi="Times New Roman"/>
                <w:b/>
                <w:sz w:val="20"/>
              </w:rPr>
            </w:pPr>
            <w:r>
              <w:rPr>
                <w:rFonts w:ascii="Times New Roman" w:hAnsi="Times New Roman"/>
                <w:b/>
                <w:sz w:val="20"/>
              </w:rPr>
              <w:t>Redwood City, CA 94063</w:t>
            </w:r>
          </w:p>
          <w:p>
            <w:pPr>
              <w:pStyle w:val="TableContents"/>
              <w:bidi w:val="0"/>
              <w:spacing w:before="0" w:after="20"/>
              <w:jc w:val="center"/>
              <w:rPr>
                <w:rFonts w:ascii="Times New Roman" w:hAnsi="Times New Roman"/>
                <w:b/>
                <w:sz w:val="20"/>
              </w:rPr>
            </w:pPr>
            <w:r>
              <w:rPr>
                <w:rFonts w:ascii="Times New Roman" w:hAnsi="Times New Roman"/>
                <w:b/>
                <w:sz w:val="20"/>
              </w:rPr>
              <w:t>(650) 328-4600</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Linda Rockett, Esq.</w:t>
            </w:r>
          </w:p>
          <w:p>
            <w:pPr>
              <w:pStyle w:val="TableContents"/>
              <w:bidi w:val="0"/>
              <w:spacing w:before="0" w:after="0"/>
              <w:jc w:val="center"/>
              <w:rPr>
                <w:rFonts w:ascii="Times New Roman" w:hAnsi="Times New Roman"/>
                <w:b/>
                <w:sz w:val="20"/>
              </w:rPr>
            </w:pPr>
            <w:r>
              <w:rPr>
                <w:rFonts w:ascii="Times New Roman" w:hAnsi="Times New Roman"/>
                <w:b/>
                <w:sz w:val="20"/>
              </w:rPr>
              <w:t>Senior Vice President, General Counsel</w:t>
            </w:r>
          </w:p>
          <w:p>
            <w:pPr>
              <w:pStyle w:val="TableContents"/>
              <w:bidi w:val="0"/>
              <w:spacing w:before="0" w:after="0"/>
              <w:jc w:val="center"/>
              <w:rPr>
                <w:rFonts w:ascii="Times New Roman" w:hAnsi="Times New Roman"/>
                <w:b/>
                <w:sz w:val="20"/>
              </w:rPr>
            </w:pPr>
            <w:r>
              <w:rPr>
                <w:rFonts w:ascii="Times New Roman" w:hAnsi="Times New Roman"/>
                <w:b/>
                <w:sz w:val="20"/>
              </w:rPr>
              <w:t>Wave Life Sciences, Ltd.</w:t>
            </w:r>
          </w:p>
          <w:p>
            <w:pPr>
              <w:pStyle w:val="TableContents"/>
              <w:bidi w:val="0"/>
              <w:spacing w:before="0" w:after="0"/>
              <w:jc w:val="center"/>
              <w:rPr>
                <w:rFonts w:ascii="Times New Roman" w:hAnsi="Times New Roman"/>
                <w:b/>
                <w:sz w:val="20"/>
              </w:rPr>
            </w:pPr>
            <w:r>
              <w:rPr>
                <w:rFonts w:ascii="Times New Roman" w:hAnsi="Times New Roman"/>
                <w:b/>
                <w:sz w:val="20"/>
              </w:rPr>
              <w:t>c/o 733 Concord Avenue</w:t>
            </w:r>
          </w:p>
          <w:p>
            <w:pPr>
              <w:pStyle w:val="TableContents"/>
              <w:bidi w:val="0"/>
              <w:spacing w:before="0" w:after="0"/>
              <w:jc w:val="center"/>
              <w:rPr>
                <w:rFonts w:ascii="Times New Roman" w:hAnsi="Times New Roman"/>
                <w:b/>
                <w:sz w:val="20"/>
              </w:rPr>
            </w:pPr>
            <w:r>
              <w:rPr>
                <w:rFonts w:ascii="Times New Roman" w:hAnsi="Times New Roman"/>
                <w:b/>
                <w:sz w:val="20"/>
              </w:rPr>
              <w:t>Cambridge, MA 02138</w:t>
            </w:r>
          </w:p>
          <w:p>
            <w:pPr>
              <w:pStyle w:val="TableContents"/>
              <w:bidi w:val="0"/>
              <w:spacing w:before="0" w:after="20"/>
              <w:jc w:val="center"/>
              <w:rPr>
                <w:rFonts w:ascii="Times New Roman" w:hAnsi="Times New Roman"/>
                <w:b/>
                <w:sz w:val="20"/>
              </w:rPr>
            </w:pPr>
            <w:r>
              <w:rPr>
                <w:rFonts w:ascii="Times New Roman" w:hAnsi="Times New Roman"/>
                <w:b/>
                <w:sz w:val="20"/>
              </w:rPr>
              <w:t>(617) 949-2900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This Post-Effective Amendment is being filed pursuant to Rule 414 under the Securities Act of 1933, as amended (the “</w:t>
      </w:r>
      <w:r>
        <w:rPr>
          <w:rFonts w:ascii="Times New Roman" w:hAnsi="Times New Roman"/>
          <w:sz w:val="20"/>
          <w:u w:val="single"/>
        </w:rPr>
        <w:t>Securities Act</w:t>
      </w:r>
      <w:r>
        <w:rPr>
          <w:rFonts w:ascii="Times New Roman" w:hAnsi="Times New Roman"/>
          <w:sz w:val="20"/>
        </w:rPr>
        <w:t>”), by Wave Life Sciences, Inc., a Delaware corporation (“</w:t>
      </w:r>
      <w:r>
        <w:rPr>
          <w:rFonts w:ascii="Times New Roman" w:hAnsi="Times New Roman"/>
          <w:sz w:val="20"/>
          <w:u w:val="single"/>
        </w:rPr>
        <w:t>Wave-Delaware</w:t>
      </w:r>
      <w:r>
        <w:rPr>
          <w:rFonts w:ascii="Times New Roman" w:hAnsi="Times New Roman"/>
          <w:sz w:val="20"/>
        </w:rPr>
        <w:t>” or the “</w:t>
      </w:r>
      <w:r>
        <w:rPr>
          <w:rFonts w:ascii="Times New Roman" w:hAnsi="Times New Roman"/>
          <w:sz w:val="20"/>
          <w:u w:val="single"/>
        </w:rPr>
        <w:t>Registrant</w:t>
      </w:r>
      <w:r>
        <w:rPr>
          <w:rFonts w:ascii="Times New Roman" w:hAnsi="Times New Roman"/>
          <w:sz w:val="20"/>
        </w:rPr>
        <w:t>”), as successor issuer to Wave Life Sciences, Ltd., a public company limited by shares incorporated under the laws of the Republic of Singapore (“</w:t>
      </w:r>
      <w:r>
        <w:rPr>
          <w:rFonts w:ascii="Times New Roman" w:hAnsi="Times New Roman"/>
          <w:sz w:val="20"/>
          <w:u w:val="single"/>
        </w:rPr>
        <w:t>Wave-Singapore</w:t>
      </w:r>
      <w:r>
        <w:rPr>
          <w:rFonts w:ascii="Times New Roman" w:hAnsi="Times New Roman"/>
          <w:sz w:val="20"/>
        </w:rPr>
        <w:t>”). On August 7, 2026, Wave-Singapore completed a court-sanctioned scheme of arrangement (the “</w:t>
      </w:r>
      <w:r>
        <w:rPr>
          <w:rFonts w:ascii="Times New Roman" w:hAnsi="Times New Roman"/>
          <w:sz w:val="20"/>
          <w:u w:val="single"/>
        </w:rPr>
        <w:t>Scheme of Arrangement</w:t>
      </w:r>
      <w:r>
        <w:rPr>
          <w:rFonts w:ascii="Times New Roman" w:hAnsi="Times New Roman"/>
          <w:sz w:val="20"/>
        </w:rPr>
        <w:t>”), as part of Wave-Singapore’s previously announced intention to redomicile to the United States (the “</w:t>
      </w:r>
      <w:r>
        <w:rPr>
          <w:rFonts w:ascii="Times New Roman" w:hAnsi="Times New Roman"/>
          <w:sz w:val="20"/>
          <w:u w:val="single"/>
        </w:rPr>
        <w:t>Redomiciliation</w:t>
      </w:r>
      <w:r>
        <w:rPr>
          <w:rFonts w:ascii="Times New Roman" w:hAnsi="Times New Roman"/>
          <w:sz w:val="20"/>
        </w:rPr>
        <w:t xml:space="preserve">”). Pursuant to the Scheme of Arrangement, among other things, all issued ordinary shares in the capital of Wave-Singapore as of immediately prior to the effective time of the Scheme of Arrangement were exchanged on a one-for-one basis for newly issued shares of common stock of Wave-Delaware. As a result of the Redomiciliation, Wave-Singapore is now a subsidiary of Wave-Delaware, and Wave-Delaware is the successor issuer to Wave-Singapore. </w:t>
      </w:r>
    </w:p>
    <w:p>
      <w:pPr>
        <w:pStyle w:val="TextBody"/>
        <w:bidi w:val="0"/>
        <w:spacing w:before="240" w:after="0"/>
        <w:jc w:val="left"/>
        <w:rPr/>
      </w:pPr>
      <w:r>
        <w:rPr>
          <w:rFonts w:ascii="Times New Roman" w:hAnsi="Times New Roman"/>
          <w:sz w:val="20"/>
        </w:rPr>
        <w:t>In connection with the Redomiciliation, Wave-Delaware assumed Wave-Singapore’s existing obligations in connection with awards granted under Wave-Singapore’s equity incentive plans, assumed and amended and restated such plans and amended such awards as necessary to provide for the issuance of shares of Wave-Delaware common stock rather than the ordinary shares of Wave-Singapore upon the exercise or vesting of awards or purchase of shares. This Post-Effective Amendment pertains to the adoption by Wave-Delaware of the following registration statements on Form S-8 (collectively, the “</w:t>
      </w:r>
      <w:r>
        <w:rPr>
          <w:rFonts w:ascii="Times New Roman" w:hAnsi="Times New Roman"/>
          <w:sz w:val="20"/>
          <w:u w:val="single"/>
        </w:rPr>
        <w:t>Registration Statements</w:t>
      </w:r>
      <w:r>
        <w:rPr>
          <w:rFonts w:ascii="Times New Roman" w:hAnsi="Times New Roman"/>
          <w:sz w:val="20"/>
        </w:rPr>
        <w:t>”): (i) Registration No. </w:t>
      </w:r>
      <w:hyperlink r:id="rId2">
        <w:r>
          <w:rPr>
            <w:rStyle w:val="InternetLink"/>
            <w:rFonts w:ascii="Times New Roman" w:hAnsi="Times New Roman"/>
            <w:sz w:val="20"/>
          </w:rPr>
          <w:t>333-208598</w:t>
        </w:r>
      </w:hyperlink>
      <w:r>
        <w:rPr>
          <w:rFonts w:ascii="Times New Roman" w:hAnsi="Times New Roman"/>
          <w:sz w:val="20"/>
        </w:rPr>
        <w:t>, (ii) Registration No. </w:t>
      </w:r>
      <w:hyperlink r:id="rId3">
        <w:r>
          <w:rPr>
            <w:rStyle w:val="InternetLink"/>
            <w:rFonts w:ascii="Times New Roman" w:hAnsi="Times New Roman"/>
            <w:sz w:val="20"/>
          </w:rPr>
          <w:t>333-221480</w:t>
        </w:r>
      </w:hyperlink>
      <w:r>
        <w:rPr>
          <w:rFonts w:ascii="Times New Roman" w:hAnsi="Times New Roman"/>
          <w:sz w:val="20"/>
        </w:rPr>
        <w:t>, (iii) Registration No. </w:t>
      </w:r>
      <w:hyperlink r:id="rId4">
        <w:r>
          <w:rPr>
            <w:rStyle w:val="InternetLink"/>
            <w:rFonts w:ascii="Times New Roman" w:hAnsi="Times New Roman"/>
            <w:sz w:val="20"/>
          </w:rPr>
          <w:t>333-228308</w:t>
        </w:r>
      </w:hyperlink>
      <w:r>
        <w:rPr>
          <w:rFonts w:ascii="Times New Roman" w:hAnsi="Times New Roman"/>
          <w:sz w:val="20"/>
        </w:rPr>
        <w:t xml:space="preserve">, (iv) Registration No.  </w:t>
      </w:r>
      <w:hyperlink r:id="rId5">
        <w:r>
          <w:rPr>
            <w:rStyle w:val="InternetLink"/>
            <w:rFonts w:ascii="Times New Roman" w:hAnsi="Times New Roman"/>
            <w:sz w:val="20"/>
          </w:rPr>
          <w:t>333-233054</w:t>
        </w:r>
      </w:hyperlink>
      <w:r>
        <w:rPr>
          <w:rFonts w:ascii="Times New Roman" w:hAnsi="Times New Roman"/>
          <w:sz w:val="20"/>
        </w:rPr>
        <w:t xml:space="preserve">, (v) Registration No.  </w:t>
      </w:r>
      <w:hyperlink r:id="rId6">
        <w:r>
          <w:rPr>
            <w:rStyle w:val="InternetLink"/>
            <w:rFonts w:ascii="Times New Roman" w:hAnsi="Times New Roman"/>
            <w:sz w:val="20"/>
          </w:rPr>
          <w:t>333-234519</w:t>
        </w:r>
      </w:hyperlink>
      <w:r>
        <w:rPr>
          <w:rFonts w:ascii="Times New Roman" w:hAnsi="Times New Roman"/>
          <w:sz w:val="20"/>
        </w:rPr>
        <w:t xml:space="preserve">, (vi) Registration No.  </w:t>
      </w:r>
      <w:hyperlink r:id="rId7">
        <w:r>
          <w:rPr>
            <w:rStyle w:val="InternetLink"/>
            <w:rFonts w:ascii="Times New Roman" w:hAnsi="Times New Roman"/>
            <w:sz w:val="20"/>
          </w:rPr>
          <w:t>333-243491</w:t>
        </w:r>
      </w:hyperlink>
      <w:r>
        <w:rPr>
          <w:rFonts w:ascii="Times New Roman" w:hAnsi="Times New Roman"/>
          <w:sz w:val="20"/>
        </w:rPr>
        <w:t xml:space="preserve">, (vii) Registration No.  </w:t>
      </w:r>
      <w:hyperlink r:id="rId8">
        <w:r>
          <w:rPr>
            <w:rStyle w:val="InternetLink"/>
            <w:rFonts w:ascii="Times New Roman" w:hAnsi="Times New Roman"/>
            <w:sz w:val="20"/>
          </w:rPr>
          <w:t>333-243515</w:t>
        </w:r>
      </w:hyperlink>
      <w:r>
        <w:rPr>
          <w:rFonts w:ascii="Times New Roman" w:hAnsi="Times New Roman"/>
          <w:sz w:val="20"/>
        </w:rPr>
        <w:t xml:space="preserve">, (viii) Registration No.  </w:t>
      </w:r>
      <w:hyperlink r:id="rId9">
        <w:r>
          <w:rPr>
            <w:rStyle w:val="InternetLink"/>
            <w:rFonts w:ascii="Times New Roman" w:hAnsi="Times New Roman"/>
            <w:sz w:val="20"/>
          </w:rPr>
          <w:t>333-259196</w:t>
        </w:r>
      </w:hyperlink>
      <w:r>
        <w:rPr>
          <w:rFonts w:ascii="Times New Roman" w:hAnsi="Times New Roman"/>
          <w:sz w:val="20"/>
        </w:rPr>
        <w:t xml:space="preserve">, (ix) Registration No.  </w:t>
      </w:r>
      <w:hyperlink r:id="rId10">
        <w:r>
          <w:rPr>
            <w:rStyle w:val="InternetLink"/>
            <w:rFonts w:ascii="Times New Roman" w:hAnsi="Times New Roman"/>
            <w:sz w:val="20"/>
          </w:rPr>
          <w:t>333-260948</w:t>
        </w:r>
      </w:hyperlink>
      <w:r>
        <w:rPr>
          <w:rFonts w:ascii="Times New Roman" w:hAnsi="Times New Roman"/>
          <w:sz w:val="20"/>
        </w:rPr>
        <w:t xml:space="preserve">, (x) Registration No.  </w:t>
      </w:r>
      <w:hyperlink r:id="rId11">
        <w:r>
          <w:rPr>
            <w:rStyle w:val="InternetLink"/>
            <w:rFonts w:ascii="Times New Roman" w:hAnsi="Times New Roman"/>
            <w:sz w:val="20"/>
          </w:rPr>
          <w:t>333-268286</w:t>
        </w:r>
      </w:hyperlink>
      <w:r>
        <w:rPr>
          <w:rFonts w:ascii="Times New Roman" w:hAnsi="Times New Roman"/>
          <w:sz w:val="20"/>
        </w:rPr>
        <w:t xml:space="preserve">, (xi) Registration No.  </w:t>
      </w:r>
      <w:hyperlink r:id="rId12">
        <w:r>
          <w:rPr>
            <w:rStyle w:val="InternetLink"/>
            <w:rFonts w:ascii="Times New Roman" w:hAnsi="Times New Roman"/>
            <w:sz w:val="20"/>
          </w:rPr>
          <w:t>333-275420</w:t>
        </w:r>
      </w:hyperlink>
      <w:r>
        <w:rPr>
          <w:rFonts w:ascii="Times New Roman" w:hAnsi="Times New Roman"/>
          <w:sz w:val="20"/>
        </w:rPr>
        <w:t xml:space="preserve">, (xii) Registration No.  </w:t>
      </w:r>
      <w:hyperlink r:id="rId13">
        <w:r>
          <w:rPr>
            <w:rStyle w:val="InternetLink"/>
            <w:rFonts w:ascii="Times New Roman" w:hAnsi="Times New Roman"/>
            <w:sz w:val="20"/>
          </w:rPr>
          <w:t>333-275421</w:t>
        </w:r>
      </w:hyperlink>
      <w:r>
        <w:rPr>
          <w:rFonts w:ascii="Times New Roman" w:hAnsi="Times New Roman"/>
          <w:sz w:val="20"/>
        </w:rPr>
        <w:t xml:space="preserve">, (xiii) Registration No.  </w:t>
      </w:r>
      <w:hyperlink r:id="rId14">
        <w:r>
          <w:rPr>
            <w:rStyle w:val="InternetLink"/>
            <w:rFonts w:ascii="Times New Roman" w:hAnsi="Times New Roman"/>
            <w:sz w:val="20"/>
          </w:rPr>
          <w:t>333-283123</w:t>
        </w:r>
      </w:hyperlink>
      <w:r>
        <w:rPr>
          <w:rFonts w:ascii="Times New Roman" w:hAnsi="Times New Roman"/>
          <w:sz w:val="20"/>
        </w:rPr>
        <w:t xml:space="preserve">, (xiv) Registration No.  </w:t>
      </w:r>
      <w:hyperlink r:id="rId15">
        <w:r>
          <w:rPr>
            <w:rStyle w:val="InternetLink"/>
            <w:rFonts w:ascii="Times New Roman" w:hAnsi="Times New Roman"/>
            <w:sz w:val="20"/>
          </w:rPr>
          <w:t>333-283125</w:t>
        </w:r>
      </w:hyperlink>
      <w:r>
        <w:rPr>
          <w:rFonts w:ascii="Times New Roman" w:hAnsi="Times New Roman"/>
          <w:sz w:val="20"/>
        </w:rPr>
        <w:t xml:space="preserve">, (xv) Registration No.  </w:t>
      </w:r>
      <w:hyperlink r:id="rId16">
        <w:r>
          <w:rPr>
            <w:rStyle w:val="InternetLink"/>
            <w:rFonts w:ascii="Times New Roman" w:hAnsi="Times New Roman"/>
            <w:sz w:val="20"/>
          </w:rPr>
          <w:t>333-291408</w:t>
        </w:r>
      </w:hyperlink>
      <w:r>
        <w:rPr>
          <w:rFonts w:ascii="Times New Roman" w:hAnsi="Times New Roman"/>
          <w:sz w:val="20"/>
        </w:rPr>
        <w:t xml:space="preserve"> and (xvi) Registration No.  </w:t>
      </w:r>
      <w:hyperlink r:id="rId17">
        <w:r>
          <w:rPr>
            <w:rStyle w:val="InternetLink"/>
            <w:rFonts w:ascii="Times New Roman" w:hAnsi="Times New Roman"/>
            <w:sz w:val="20"/>
          </w:rPr>
          <w:t>333-291409</w:t>
        </w:r>
      </w:hyperlink>
      <w:r>
        <w:rPr>
          <w:rFonts w:ascii="Times New Roman" w:hAnsi="Times New Roman"/>
          <w:sz w:val="20"/>
        </w:rPr>
        <w:t>. Wave-Delaware hereby expressly adopts each Registration Statement as its own registration statement for all purposes of the Securities Act and the Securities Exchange Act of 1934, as amended (the “</w:t>
      </w:r>
      <w:r>
        <w:rPr>
          <w:rFonts w:ascii="Times New Roman" w:hAnsi="Times New Roman"/>
          <w:sz w:val="20"/>
          <w:u w:val="single"/>
        </w:rPr>
        <w:t>Exchange Act</w:t>
      </w:r>
      <w:r>
        <w:rPr>
          <w:rFonts w:ascii="Times New Roman" w:hAnsi="Times New Roman"/>
          <w:sz w:val="20"/>
        </w:rPr>
        <w:t xml:space="preserve">”). This Post-Effective Amendment constitutes Post-Effective Amendment No. 1 to each of the Registration Statements. </w:t>
      </w:r>
    </w:p>
    <w:p>
      <w:pPr>
        <w:pStyle w:val="TextBody"/>
        <w:bidi w:val="0"/>
        <w:spacing w:before="0" w:after="0"/>
        <w:jc w:val="left"/>
        <w:rPr/>
      </w:pPr>
      <w:r>
        <w:rPr/>
        <w:t> </w:t>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PART 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The information called for in Part I of Form S-8 is not being filed with or included in this Post-Effective Amendment (by incorporation by reference or otherwise) in accordance with the rules and regulations of the U.S. Securities and Exchange Commission (the “</w:t>
      </w:r>
      <w:r>
        <w:rPr>
          <w:rFonts w:ascii="Times New Roman" w:hAnsi="Times New Roman"/>
          <w:sz w:val="20"/>
          <w:u w:val="single"/>
        </w:rPr>
        <w:t>SEC</w:t>
      </w:r>
      <w:r>
        <w:rPr>
          <w:rFonts w:ascii="Times New Roman" w:hAnsi="Times New Roman"/>
          <w:sz w:val="20"/>
        </w:rPr>
        <w:t xml:space="preserve">”). The documents containing the information specified in Part I of Form S-8 will be delivered to the participants in the equity benefit plans covered by this Post-Effective Amendment as specified by Rule 428(b)(1)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Incorporation of Documents by Reference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Wave-Delaware hereby incorporates by reference the following documents previously filed with the SEC (only to the extent “filed” and not “furnished”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Annual Report of Wave-Singapore on Form 10-K for the fiscal year ended December 31, 2025, filed with the SEC on </w:t>
            </w:r>
            <w:hyperlink r:id="rId18">
              <w:r>
                <w:rPr>
                  <w:rStyle w:val="InternetLink"/>
                  <w:rFonts w:ascii="Times New Roman" w:hAnsi="Times New Roman"/>
                  <w:sz w:val="20"/>
                </w:rPr>
                <w:t>February  26, 2026</w:t>
              </w:r>
            </w:hyperlink>
            <w:r>
              <w:rPr>
                <w:rFonts w:ascii="Times New Roman" w:hAnsi="Times New Roman"/>
                <w:sz w:val="20"/>
              </w:rPr>
              <w:t xml:space="preserve">, as amended on </w:t>
            </w:r>
            <w:hyperlink r:id="rId19">
              <w:r>
                <w:rPr>
                  <w:rStyle w:val="InternetLink"/>
                  <w:rFonts w:ascii="Times New Roman" w:hAnsi="Times New Roman"/>
                  <w:sz w:val="20"/>
                </w:rPr>
                <w:t>April 30,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rFonts w:ascii="Times New Roman" w:hAnsi="Times New Roman"/>
                <w:sz w:val="20"/>
              </w:rPr>
              <w:t xml:space="preserve">Quarterly Reports of Wave-Singapore on Form 10-Q for the fiscal quarter ended March 31, 2026, filed with the SEC on </w:t>
            </w:r>
            <w:hyperlink r:id="rId20">
              <w:r>
                <w:rPr>
                  <w:rStyle w:val="InternetLink"/>
                  <w:rFonts w:ascii="Times New Roman" w:hAnsi="Times New Roman"/>
                  <w:sz w:val="20"/>
                </w:rPr>
                <w:t>April 28, 2026</w:t>
              </w:r>
            </w:hyperlink>
            <w:r>
              <w:rPr>
                <w:rFonts w:ascii="Times New Roman" w:hAnsi="Times New Roman"/>
                <w:sz w:val="20"/>
              </w:rPr>
              <w:t xml:space="preserve">, and for the fiscal quarter ended June 30, 2026, filed with the SEC on </w:t>
            </w:r>
            <w:hyperlink r:id="rId21">
              <w:r>
                <w:rPr>
                  <w:rStyle w:val="InternetLink"/>
                  <w:rFonts w:ascii="Times New Roman" w:hAnsi="Times New Roman"/>
                  <w:sz w:val="20"/>
                </w:rPr>
                <w:t>July 30, 2026</w:t>
              </w:r>
            </w:hyperlink>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pPr>
            <w:r>
              <w:rPr>
                <w:rFonts w:ascii="Times New Roman" w:hAnsi="Times New Roman"/>
                <w:sz w:val="20"/>
              </w:rPr>
              <w:t xml:space="preserve">Wave-Singapore’s Current Reports on Form 8-K filed with the SEC on </w:t>
            </w:r>
            <w:hyperlink r:id="rId22">
              <w:r>
                <w:rPr>
                  <w:rStyle w:val="InternetLink"/>
                  <w:rFonts w:ascii="Times New Roman" w:hAnsi="Times New Roman"/>
                  <w:sz w:val="20"/>
                </w:rPr>
                <w:t>February  2, 2026</w:t>
              </w:r>
            </w:hyperlink>
            <w:r>
              <w:rPr>
                <w:rFonts w:ascii="Times New Roman" w:hAnsi="Times New Roman"/>
                <w:sz w:val="20"/>
              </w:rPr>
              <w:t xml:space="preserve">, </w:t>
            </w:r>
            <w:hyperlink r:id="rId23">
              <w:r>
                <w:rPr>
                  <w:rStyle w:val="InternetLink"/>
                  <w:rFonts w:ascii="Times New Roman" w:hAnsi="Times New Roman"/>
                  <w:sz w:val="20"/>
                </w:rPr>
                <w:t>March  26, 2026</w:t>
              </w:r>
            </w:hyperlink>
            <w:r>
              <w:rPr>
                <w:rFonts w:ascii="Times New Roman" w:hAnsi="Times New Roman"/>
                <w:sz w:val="20"/>
              </w:rPr>
              <w:t xml:space="preserve"> (other than Item 7.01 and Exhibit 99.1), </w:t>
            </w:r>
            <w:hyperlink r:id="rId24">
              <w:r>
                <w:rPr>
                  <w:rStyle w:val="InternetLink"/>
                  <w:rFonts w:ascii="Times New Roman" w:hAnsi="Times New Roman"/>
                  <w:sz w:val="20"/>
                </w:rPr>
                <w:t>April  15, 2026</w:t>
              </w:r>
            </w:hyperlink>
            <w:r>
              <w:rPr>
                <w:rFonts w:ascii="Times New Roman" w:hAnsi="Times New Roman"/>
                <w:sz w:val="20"/>
              </w:rPr>
              <w:t xml:space="preserve">, </w:t>
            </w:r>
            <w:hyperlink r:id="rId25">
              <w:r>
                <w:rPr>
                  <w:rStyle w:val="InternetLink"/>
                  <w:rFonts w:ascii="Times New Roman" w:hAnsi="Times New Roman"/>
                  <w:sz w:val="20"/>
                </w:rPr>
                <w:t>April  21, 2026</w:t>
              </w:r>
            </w:hyperlink>
            <w:r>
              <w:rPr>
                <w:rFonts w:ascii="Times New Roman" w:hAnsi="Times New Roman"/>
                <w:sz w:val="20"/>
              </w:rPr>
              <w:t xml:space="preserve">, </w:t>
            </w:r>
            <w:hyperlink r:id="rId26">
              <w:r>
                <w:rPr>
                  <w:rStyle w:val="InternetLink"/>
                  <w:rFonts w:ascii="Times New Roman" w:hAnsi="Times New Roman"/>
                  <w:sz w:val="20"/>
                </w:rPr>
                <w:t>May  18, 2026</w:t>
              </w:r>
            </w:hyperlink>
            <w:r>
              <w:rPr>
                <w:rFonts w:ascii="Times New Roman" w:hAnsi="Times New Roman"/>
                <w:sz w:val="20"/>
              </w:rPr>
              <w:t xml:space="preserve"> (other than Item 7.01 and Exhibit 99.1) and </w:t>
            </w:r>
            <w:hyperlink r:id="rId27">
              <w:r>
                <w:rPr>
                  <w:rStyle w:val="InternetLink"/>
                  <w:rFonts w:ascii="Times New Roman" w:hAnsi="Times New Roman"/>
                  <w:sz w:val="20"/>
                </w:rPr>
                <w:t>June 26,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pPr>
            <w:r>
              <w:rPr>
                <w:rFonts w:ascii="Times New Roman" w:hAnsi="Times New Roman"/>
                <w:sz w:val="20"/>
              </w:rPr>
              <w:t xml:space="preserve">Wave-Delaware’s Current Report on Form 8-K filed with the SEC on </w:t>
            </w:r>
            <w:hyperlink r:id="rId28">
              <w:r>
                <w:rPr>
                  <w:rStyle w:val="InternetLink"/>
                  <w:rFonts w:ascii="Times New Roman" w:hAnsi="Times New Roman"/>
                  <w:sz w:val="20"/>
                </w:rPr>
                <w:t>August 7, 2026</w:t>
              </w:r>
            </w:hyperlink>
            <w:r>
              <w:rPr>
                <w:rFonts w:ascii="Times New Roman" w:hAnsi="Times New Roman"/>
                <w:sz w:val="20"/>
              </w:rPr>
              <w:t xml:space="preserve"> (other than Item 7.01 and Exhibit 99.1);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pPr>
            <w:r>
              <w:rPr>
                <w:rFonts w:ascii="Times New Roman" w:hAnsi="Times New Roman"/>
                <w:sz w:val="20"/>
              </w:rPr>
              <w:t xml:space="preserve">The description of Wave-Delaware’s common stock that is contained in Wave-Delaware’s Current Report on Form 8-K filed with the SEC on </w:t>
            </w:r>
            <w:hyperlink r:id="rId29">
              <w:r>
                <w:rPr>
                  <w:rStyle w:val="InternetLink"/>
                  <w:rFonts w:ascii="Times New Roman" w:hAnsi="Times New Roman"/>
                  <w:sz w:val="20"/>
                </w:rPr>
                <w:t>August 7, 2026</w:t>
              </w:r>
            </w:hyperlink>
            <w:r>
              <w:rPr>
                <w:rFonts w:ascii="Times New Roman" w:hAnsi="Times New Roman"/>
                <w:sz w:val="20"/>
              </w:rPr>
              <w:t xml:space="preserve"> pursuant to Rule 12g-3(a) promulgated under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that Wave-Delaware subsequently files pursuant to Sections 13(a) and 13(c), 14 and 15(d) of the Exchange Act, on or after the date of this Post-Effective Amendment and prior to the filing of a post-effective amendment to this Post-Effective Amendment, which indicate that all securities offered hereunder have been sold or which deregister all such securities then remaining unsold, shall be deemed to be incorporated by reference in this Post-Effective Amendment and to be a part hereof from the date of filing of such reports and documents. Unless expressly incorporated in this Post-Effective Amendment, a report furnished on Form 8-K shall not be incorporated by reference into this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by reference herein shall be deemed to be modified or superseded for purposes of this Post-Effective Amendment to the extent that a statement contained herein or in any other subsequently filed document that also is or is deemed to be incorporated by reference herein modifies or supersedes such earlier statement. Any statement so modified or superseded shall not be deemed, except as so modified or superseded, to constitute a part of this Post-Effective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4.</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Description of Securities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Interests of Named Experts and Counsel</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Indemnification of Directors and Officers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Under Section 145 of the General Corporation Law of the State of Delaware (the “</w:t>
      </w:r>
      <w:r>
        <w:rPr>
          <w:rFonts w:ascii="Times New Roman" w:hAnsi="Times New Roman"/>
          <w:sz w:val="20"/>
          <w:u w:val="single"/>
        </w:rPr>
        <w:t>DGCL</w:t>
      </w:r>
      <w:r>
        <w:rPr>
          <w:rFonts w:ascii="Times New Roman" w:hAnsi="Times New Roman"/>
          <w:sz w:val="20"/>
        </w:rPr>
        <w:t xml:space="preserve">”),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such person acted in good faith and in a manner such person reasonably believed to be in or not opposed to the best interests of the corporation and, with respect to any criminal action or proceeding, had no reasonable cause to believe the person’s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if such person acted in good faith and in a manner the person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The Wave-Delaware amended and restated bylaws provide that its directors and officers will be indemnified by Wave-Delaware to the fullest extent authorized by the DGCL as it presently exists or may hereafter be amended, against all liability and loss suffered and expenses (including attorneys’ fees, judgments, fines, ERISA excise taxes or penalties and amounts paid in settlement) reasonably incurred in connection with any action, suit or proceeding, whether civil, criminal, administrative or investigative which such director or officer was, is made, or is threatened to be made a party to by reason of the fact of their service as a director or officer on behalf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102(b)(7) of the DGCL, the Wave-Delaware amended and restated certificate of incorporation provides that a director or officer of Wave-Delaware shall not be personally liable to Wave-Delaware or its stockholders for monetary damages for breach of fiduciary duty as a director or officer, except to the extent such exemption from liability or limitation thereof is not permitted under the DGCL as the same exists or hereafter may be amended.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Wave-Delaware has also entered into certain indemnification agreements with its directors and executive officers. The indemnification agreements provide Wave-Delaware’s directors and executive officers with further indemnification, to the maximum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Section 145(g) of the DGCL, Wave-Delaware also maintains a directors’ and officers’ insurance policy that insures the directors and officers of Wave-Delaware against liability asserted against such persons in such capacity whether or not such directors or officers have the right to indemnification pursuant to the Wave-Delaware certificate of incorporation, bylaws or otherwise.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7.</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Exemption from Registration Claimed</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8.</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Exhibits</w:t>
            </w:r>
            <w:r>
              <w:rPr>
                <w:rFonts w:ascii="Times New Roman" w:hAnsi="Times New Roman"/>
                <w:b/>
                <w:sz w:val="20"/>
              </w:rPr>
              <w:t xml:space="preserv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6"/>
        <w:gridCol w:w="362"/>
        <w:gridCol w:w="8767"/>
      </w:tblGrid>
      <w:tr>
        <w:trPr/>
        <w:tc>
          <w:tcPr>
            <w:tcW w:w="1076" w:type="dxa"/>
            <w:tcBorders/>
            <w:vAlign w:val="center"/>
          </w:tcPr>
          <w:p>
            <w:pPr>
              <w:pStyle w:val="TableContents"/>
              <w:bidi w:val="0"/>
              <w:spacing w:before="0" w:after="283"/>
              <w:jc w:val="left"/>
              <w:rPr>
                <w:sz w:val="4"/>
                <w:szCs w:val="4"/>
              </w:rPr>
            </w:pPr>
            <w:r>
              <w:rPr>
                <w:sz w:val="4"/>
                <w:szCs w:val="4"/>
              </w:rPr>
            </w:r>
          </w:p>
        </w:tc>
        <w:tc>
          <w:tcPr>
            <w:tcW w:w="362" w:type="dxa"/>
            <w:tcBorders/>
            <w:vAlign w:val="bottom"/>
          </w:tcPr>
          <w:p>
            <w:pPr>
              <w:pStyle w:val="TableContents"/>
              <w:bidi w:val="0"/>
              <w:spacing w:before="0" w:after="283"/>
              <w:jc w:val="left"/>
              <w:rPr>
                <w:sz w:val="4"/>
                <w:szCs w:val="4"/>
              </w:rPr>
            </w:pPr>
            <w:r>
              <w:rPr>
                <w:sz w:val="4"/>
                <w:szCs w:val="4"/>
              </w:rPr>
            </w:r>
          </w:p>
        </w:tc>
        <w:tc>
          <w:tcPr>
            <w:tcW w:w="8767" w:type="dxa"/>
            <w:tcBorders/>
            <w:vAlign w:val="center"/>
          </w:tcPr>
          <w:p>
            <w:pPr>
              <w:pStyle w:val="TableContents"/>
              <w:bidi w:val="0"/>
              <w:spacing w:before="0" w:after="283"/>
              <w:jc w:val="left"/>
              <w:rPr>
                <w:sz w:val="4"/>
                <w:szCs w:val="4"/>
              </w:rPr>
            </w:pPr>
            <w:r>
              <w:rPr>
                <w:sz w:val="4"/>
                <w:szCs w:val="4"/>
              </w:rPr>
            </w:r>
          </w:p>
        </w:tc>
      </w:tr>
      <w:tr>
        <w:trPr/>
        <w:tc>
          <w:tcPr>
            <w:tcW w:w="1076"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362" w:type="dxa"/>
            <w:tcBorders/>
            <w:vAlign w:val="bottom"/>
          </w:tcPr>
          <w:p>
            <w:pPr>
              <w:pStyle w:val="TableContents"/>
              <w:bidi w:val="0"/>
              <w:spacing w:before="0" w:after="283"/>
              <w:jc w:val="left"/>
              <w:rPr/>
            </w:pPr>
            <w:r>
              <w:rPr/>
              <w:t> </w:t>
            </w:r>
          </w:p>
        </w:tc>
        <w:tc>
          <w:tcPr>
            <w:tcW w:w="8767" w:type="dxa"/>
            <w:tcBorders/>
            <w:vAlign w:val="bottom"/>
          </w:tcPr>
          <w:p>
            <w:pPr>
              <w:pStyle w:val="TableContents"/>
              <w:bidi w:val="0"/>
              <w:spacing w:before="0" w:after="283"/>
              <w:jc w:val="center"/>
              <w:rPr>
                <w:b/>
              </w:rPr>
            </w:pPr>
            <w:r>
              <w:rPr>
                <w:b/>
              </w:rPr>
              <w:t>Exhibit Description</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4.1(1)</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0">
              <w:r>
                <w:rPr>
                  <w:rStyle w:val="InternetLink"/>
                </w:rPr>
                <w:t xml:space="preserve">Amended and Restated Certificate of Incorporation of Wave Life Sciences, Inc.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4.2(2)</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1">
              <w:r>
                <w:rPr>
                  <w:rStyle w:val="InternetLink"/>
                </w:rPr>
                <w:t xml:space="preserve">Amended and Restated Bylaws of Wave Life Sciences, Inc.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4.3(3)</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2">
              <w:r>
                <w:rPr>
                  <w:rStyle w:val="InternetLink"/>
                </w:rPr>
                <w:t>Investors’ Rights Agreement by and among the Registrant and certain of its shareholders, dated as of August 14, 2015</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4.4(4)</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3">
              <w:r>
                <w:rPr>
                  <w:rStyle w:val="InternetLink"/>
                </w:rPr>
                <w:t>Amendment No.  1 to Investors’ Rights Agreement by and among the Registrant and certain of its shareholders, dated as of November 8, 2018</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4.5(5)*</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4">
              <w:r>
                <w:rPr>
                  <w:rStyle w:val="InternetLink"/>
                </w:rPr>
                <w:t>Share Purchase Agreement by and between the Registrant and C.P. Pharmaceuticals International C.V., dated as of May 5, 2016</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4.6(6)</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5">
              <w:r>
                <w:rPr>
                  <w:rStyle w:val="InternetLink"/>
                </w:rPr>
                <w:t>Share Purchase Agreement by and between the Registrant and Glaxo Group Limited, dated as of December 13, 2022</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4.7(7)</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6">
              <w:r>
                <w:rPr>
                  <w:rStyle w:val="InternetLink"/>
                </w:rPr>
                <w:t>Investor Agreement by and between the Registrant and Glaxo Group Limited, dated as of January 26, 2023</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5.1</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w:anchor="d367205dex51.htm">
              <w:r>
                <w:rPr>
                  <w:rStyle w:val="InternetLink"/>
                </w:rPr>
                <w:t xml:space="preserve">Opinion of Latham &amp; Watkins LLP as to the legality of the securities being registered.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23.1</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w:anchor="d367205dex51.htm">
              <w:r>
                <w:rPr>
                  <w:rStyle w:val="InternetLink"/>
                </w:rPr>
                <w:t xml:space="preserve">Consent of Latham &amp; Watkins LLP (included in Exhibit 5.1).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23.2</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w:anchor="d367205dex232.htm">
              <w:r>
                <w:rPr>
                  <w:rStyle w:val="InternetLink"/>
                </w:rPr>
                <w:t xml:space="preserve">Consent of KPMG LLP, independent registered public accounting firm.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24.1</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w:anchor="sig">
              <w:r>
                <w:rPr>
                  <w:rStyle w:val="InternetLink"/>
                </w:rPr>
                <w:t xml:space="preserve">Powers of Attorney (included on signature page).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99.1.1 (8)</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7">
              <w:r>
                <w:rPr>
                  <w:rStyle w:val="InternetLink"/>
                </w:rPr>
                <w:t>Wave Life Sciences Ltd. 2014 Equity Incentive Plan, as amended.</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99.2.1 (9)</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8">
              <w:r>
                <w:rPr>
                  <w:rStyle w:val="InternetLink"/>
                </w:rPr>
                <w:t xml:space="preserve">Wave Life Sciences, Inc. Amended and Restated 2021 Equity Incentive Plan, effective as of August 7, 2026.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99.2.2 (10)</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39">
              <w:r>
                <w:rPr>
                  <w:rStyle w:val="InternetLink"/>
                </w:rPr>
                <w:t>Wave Life Sciences Ltd. 2021 Equity Plan, as amended, effective August 5, 2025</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99.3.1 (11)</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40">
              <w:r>
                <w:rPr>
                  <w:rStyle w:val="InternetLink"/>
                </w:rPr>
                <w:t xml:space="preserve">Amended and Restated Wave Life Sciences Inc. 2019 Employee Stock Purchase Plan, effective as of August 7, 2026.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99.3.2 (12)</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41">
              <w:r>
                <w:rPr>
                  <w:rStyle w:val="InternetLink"/>
                </w:rPr>
                <w:t>Wave Life Sciences Ltd. 2019 Employee Share Purchase Plan, as amended, effective as of August 1, 2023.</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99.4.1</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w:anchor="d367205dex9941.htm">
              <w:r>
                <w:rPr>
                  <w:rStyle w:val="InternetLink"/>
                </w:rPr>
                <w:t xml:space="preserve">Form of Non-qualified Stock Option Agreement under the Amended and Restated 2021 Equity Incentive Plan. </w:t>
              </w:r>
            </w:hyperlink>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99.4.2 (13)</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42">
              <w:r>
                <w:rPr>
                  <w:rStyle w:val="InternetLink"/>
                </w:rPr>
                <w:t>Form of Non-qualified Share Option Agreement under the 2014 Equity Plan, effective as of September</w:t>
              </w:r>
            </w:hyperlink>
            <w:hyperlink r:id="rId43">
              <w:r>
                <w:rPr>
                  <w:rStyle w:val="InternetLink"/>
                  <w:u w:val="single"/>
                </w:rPr>
                <w:t xml:space="preserve"> </w:t>
              </w:r>
            </w:hyperlink>
            <w:hyperlink r:id="rId44">
              <w:r>
                <w:rPr>
                  <w:rStyle w:val="InternetLink"/>
                </w:rPr>
                <w:t> 20, 2016</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99.4.3 (14)</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45">
              <w:r>
                <w:rPr>
                  <w:rStyle w:val="InternetLink"/>
                </w:rPr>
                <w:t>Form of Non-qualified Share Option Agreement under the 2014 Equity Plan, effective as of January</w:t>
              </w:r>
            </w:hyperlink>
            <w:hyperlink r:id="rId46">
              <w:r>
                <w:rPr>
                  <w:rStyle w:val="InternetLink"/>
                  <w:u w:val="single"/>
                </w:rPr>
                <w:t xml:space="preserve"> </w:t>
              </w:r>
            </w:hyperlink>
            <w:hyperlink r:id="rId47">
              <w:r>
                <w:rPr>
                  <w:rStyle w:val="InternetLink"/>
                </w:rPr>
                <w:t> 1, 2018</w:t>
              </w:r>
            </w:hyperlink>
            <w:r>
              <w:rPr/>
              <w:t>.</w:t>
            </w:r>
          </w:p>
        </w:tc>
      </w:tr>
      <w:tr>
        <w:trPr>
          <w:trHeight w:val="120" w:hRule="atLeast"/>
        </w:trPr>
        <w:tc>
          <w:tcPr>
            <w:tcW w:w="1076" w:type="dxa"/>
            <w:tcBorders/>
            <w:vAlign w:val="center"/>
          </w:tcPr>
          <w:p>
            <w:pPr>
              <w:pStyle w:val="TableContents"/>
              <w:bidi w:val="0"/>
              <w:spacing w:before="0" w:after="283"/>
              <w:jc w:val="left"/>
              <w:rPr>
                <w:sz w:val="4"/>
                <w:szCs w:val="4"/>
              </w:rPr>
            </w:pPr>
            <w:r>
              <w:rPr>
                <w:sz w:val="4"/>
                <w:szCs w:val="4"/>
              </w:rPr>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tcPr>
          <w:p>
            <w:pPr>
              <w:pStyle w:val="TableContents"/>
              <w:bidi w:val="0"/>
              <w:spacing w:before="0" w:after="283"/>
              <w:jc w:val="left"/>
              <w:rPr/>
            </w:pPr>
            <w:r>
              <w:rPr/>
              <w:t>99.4.4 (15)</w:t>
            </w:r>
          </w:p>
        </w:tc>
        <w:tc>
          <w:tcPr>
            <w:tcW w:w="362" w:type="dxa"/>
            <w:tcBorders/>
            <w:vAlign w:val="bottom"/>
          </w:tcPr>
          <w:p>
            <w:pPr>
              <w:pStyle w:val="TableContents"/>
              <w:bidi w:val="0"/>
              <w:spacing w:before="0" w:after="283"/>
              <w:jc w:val="left"/>
              <w:rPr/>
            </w:pPr>
            <w:r>
              <w:rPr/>
              <w:t> </w:t>
            </w:r>
          </w:p>
        </w:tc>
        <w:tc>
          <w:tcPr>
            <w:tcW w:w="8767" w:type="dxa"/>
            <w:tcBorders/>
          </w:tcPr>
          <w:p>
            <w:pPr>
              <w:pStyle w:val="TableContents"/>
              <w:bidi w:val="0"/>
              <w:spacing w:before="0" w:after="283"/>
              <w:jc w:val="left"/>
              <w:rPr/>
            </w:pPr>
            <w:hyperlink r:id="rId48">
              <w:r>
                <w:rPr>
                  <w:rStyle w:val="InternetLink"/>
                </w:rPr>
                <w:t>Form of Non-qualified Share Option Agreement under the 2021 Equity Plan, effective as August 10, 2021</w:t>
              </w:r>
            </w:hyperlink>
            <w:r>
              <w:rPr/>
              <w:t>.</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081"/>
        <w:gridCol w:w="360"/>
        <w:gridCol w:w="8764"/>
      </w:tblGrid>
      <w:tr>
        <w:trPr/>
        <w:tc>
          <w:tcPr>
            <w:tcW w:w="1081" w:type="dxa"/>
            <w:tcBorders/>
            <w:vAlign w:val="center"/>
          </w:tcPr>
          <w:p>
            <w:pPr>
              <w:pStyle w:val="TableContents"/>
              <w:bidi w:val="0"/>
              <w:spacing w:before="0" w:after="283"/>
              <w:jc w:val="left"/>
              <w:rPr>
                <w:sz w:val="4"/>
                <w:szCs w:val="4"/>
              </w:rPr>
            </w:pPr>
            <w:r>
              <w:rPr>
                <w:sz w:val="4"/>
                <w:szCs w:val="4"/>
              </w:rPr>
            </w:r>
          </w:p>
        </w:tc>
        <w:tc>
          <w:tcPr>
            <w:tcW w:w="360" w:type="dxa"/>
            <w:tcBorders/>
            <w:vAlign w:val="bottom"/>
          </w:tcPr>
          <w:p>
            <w:pPr>
              <w:pStyle w:val="TableContents"/>
              <w:bidi w:val="0"/>
              <w:spacing w:before="0" w:after="283"/>
              <w:jc w:val="left"/>
              <w:rPr>
                <w:sz w:val="4"/>
                <w:szCs w:val="4"/>
              </w:rPr>
            </w:pPr>
            <w:r>
              <w:rPr>
                <w:sz w:val="4"/>
                <w:szCs w:val="4"/>
              </w:rPr>
            </w:r>
          </w:p>
        </w:tc>
        <w:tc>
          <w:tcPr>
            <w:tcW w:w="8764" w:type="dxa"/>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99.5.1 (16)</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49">
              <w:r>
                <w:rPr>
                  <w:rStyle w:val="InternetLink"/>
                </w:rPr>
                <w:t xml:space="preserve">Form of Incentive Share Option Agreement under the 2014 Equity Plan, effective as of December 2014.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99.5.2 (17)</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0">
              <w:r>
                <w:rPr>
                  <w:rStyle w:val="InternetLink"/>
                </w:rPr>
                <w:t>Form of Incentive Share Option Agreement under the 2014 Equity Plan, effective as of September 20, 2016</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99.6.1</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367205dex9961.htm">
              <w:r>
                <w:rPr>
                  <w:rStyle w:val="InternetLink"/>
                </w:rPr>
                <w:t xml:space="preserve">Form of Restricted Stock Unit Agreement under the Amended and Restated 2021 Equity Incentive Plan.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99.6.2 (18)</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1">
              <w:r>
                <w:rPr>
                  <w:rStyle w:val="InternetLink"/>
                </w:rPr>
                <w:t>Form of Restricted Share Unit Agreement under the 2014 Equity Plan, effective as of June 16, 2016</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99.6.3 (19)</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2">
              <w:r>
                <w:rPr>
                  <w:rStyle w:val="InternetLink"/>
                </w:rPr>
                <w:t>Form of Restricted Share Unit Agreement under the 2014 Equity Plan, effective as of January 1, 2018</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99.6.4 (20)</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3">
              <w:r>
                <w:rPr>
                  <w:rStyle w:val="InternetLink"/>
                </w:rPr>
                <w:t>Form of Restricted Share Unit Agreement under the 2014 Equity Incentive Plan, effective as of January 1, 2019</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99.6.5 (21)</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4">
              <w:r>
                <w:rPr>
                  <w:rStyle w:val="InternetLink"/>
                </w:rPr>
                <w:t>Form of Restricted Share Unit Agreement under the 2021 Equity Plan, effective as of August 10, 2021</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99.6.5 (22)</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5">
              <w:r>
                <w:rPr>
                  <w:rStyle w:val="InternetLink"/>
                </w:rPr>
                <w:t>Form of Amended and Restated 2019 Performance-Based Restricted Share Unit Agreement under the 2014 Equity Incentive Plan, effective as of March  17, 2021</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99.6.7 (23)</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6">
              <w:r>
                <w:rPr>
                  <w:rStyle w:val="InternetLink"/>
                </w:rPr>
                <w:t>Form of 2021 Performance-Based Restricted Share Unit Agreement under the 2014 Equity Incentive Plan, effective as of March  17, 2021</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99.7.1</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367205dex9971.htm">
              <w:r>
                <w:rPr>
                  <w:rStyle w:val="InternetLink"/>
                </w:rPr>
                <w:t xml:space="preserve">Form of Non-qualified Stock Option Agreement for UK Participants under the Amended and Restated 2021 Equity Incentive Plan.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99.7.2</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w:anchor="d367205dex9972.htm">
              <w:r>
                <w:rPr>
                  <w:rStyle w:val="InternetLink"/>
                </w:rPr>
                <w:t xml:space="preserve">Form of Restricted Stock Unit Agreement for UK Participants under the Amended and Restated 2021 Equity Incentive Plan.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99.7.3 (24)</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7">
              <w:r>
                <w:rPr>
                  <w:rStyle w:val="InternetLink"/>
                </w:rPr>
                <w:t>Form of Non-qualified Share Option Agreement for UK Participants under the 2014 Equity Plan, effective as of June 21, 2017</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99.7.4 (25)</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8">
              <w:r>
                <w:rPr>
                  <w:rStyle w:val="InternetLink"/>
                </w:rPr>
                <w:t>Form of Non-qualified Share Option Agreement for UK Participants under the 2014 Equity Plan, effective as of January 1, 2018</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99.7.5 (26)</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59">
              <w:r>
                <w:rPr>
                  <w:rStyle w:val="InternetLink"/>
                </w:rPr>
                <w:t>Form of Non-qualified Share Option Agreement for UK Participants under the 2021 Equity Plan, effective as of August 10, 2021</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99.7.6 (27)</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60">
              <w:r>
                <w:rPr>
                  <w:rStyle w:val="InternetLink"/>
                </w:rPr>
                <w:t>Form of Restricted Share Unit Agreement for UK Participants under the 2021 Equity Plan, effective as of August 10, 2021</w:t>
              </w:r>
            </w:hyperlink>
            <w:r>
              <w:rPr/>
              <w:t>.</w:t>
            </w:r>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99.8.1 (28)</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61">
              <w:r>
                <w:rPr>
                  <w:rStyle w:val="InternetLink"/>
                </w:rPr>
                <w:t xml:space="preserve">Amendment to the Wave Life Sciences, Inc. Nasdaq Inducement Restricted Stock Unit Award Grant Notice and Nasdaq Inducement Restricted Stock Unit Agreement, effective as of August 7, 2026.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99.8.2 (29)</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62">
              <w:r>
                <w:rPr>
                  <w:rStyle w:val="InternetLink"/>
                </w:rPr>
                <w:t xml:space="preserve">Amendment to the Wave Life Sciences, Inc. Nasdaq Inducement Nonqualified Stock Option Grant Notice and Nasdaq Inducement Non-qualified Stock Option Agreement, effective as of August 7, 2026.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99.8.3 (30)</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63">
              <w:r>
                <w:rPr>
                  <w:rStyle w:val="InternetLink"/>
                </w:rPr>
                <w:t xml:space="preserve">Form of Inducement Non-qualified Share Option Agreement, effective May 2024. </w:t>
              </w:r>
            </w:hyperlink>
          </w:p>
        </w:tc>
      </w:tr>
      <w:tr>
        <w:trPr>
          <w:trHeight w:val="120" w:hRule="atLeast"/>
        </w:trPr>
        <w:tc>
          <w:tcPr>
            <w:tcW w:w="1081" w:type="dxa"/>
            <w:tcBorders/>
            <w:vAlign w:val="center"/>
          </w:tcPr>
          <w:p>
            <w:pPr>
              <w:pStyle w:val="TableContents"/>
              <w:bidi w:val="0"/>
              <w:spacing w:before="0" w:after="283"/>
              <w:jc w:val="left"/>
              <w:rPr>
                <w:sz w:val="4"/>
                <w:szCs w:val="4"/>
              </w:rPr>
            </w:pPr>
            <w:r>
              <w:rPr>
                <w:sz w:val="4"/>
                <w:szCs w:val="4"/>
              </w:rPr>
            </w:r>
          </w:p>
        </w:tc>
        <w:tc>
          <w:tcPr>
            <w:tcW w:w="9124" w:type="dxa"/>
            <w:gridSpan w:val="2"/>
            <w:tcBorders/>
            <w:vAlign w:val="center"/>
          </w:tcPr>
          <w:p>
            <w:pPr>
              <w:pStyle w:val="TableContents"/>
              <w:bidi w:val="0"/>
              <w:spacing w:before="0" w:after="283"/>
              <w:jc w:val="left"/>
              <w:rPr>
                <w:sz w:val="4"/>
                <w:szCs w:val="4"/>
              </w:rPr>
            </w:pPr>
            <w:r>
              <w:rPr>
                <w:sz w:val="4"/>
                <w:szCs w:val="4"/>
              </w:rPr>
            </w:r>
          </w:p>
        </w:tc>
      </w:tr>
      <w:tr>
        <w:trPr/>
        <w:tc>
          <w:tcPr>
            <w:tcW w:w="1081" w:type="dxa"/>
            <w:tcBorders/>
          </w:tcPr>
          <w:p>
            <w:pPr>
              <w:pStyle w:val="TableContents"/>
              <w:bidi w:val="0"/>
              <w:spacing w:before="0" w:after="283"/>
              <w:jc w:val="left"/>
              <w:rPr/>
            </w:pPr>
            <w:r>
              <w:rPr/>
              <w:t>99.8.4 (31)</w:t>
            </w:r>
          </w:p>
        </w:tc>
        <w:tc>
          <w:tcPr>
            <w:tcW w:w="360" w:type="dxa"/>
            <w:tcBorders/>
            <w:vAlign w:val="bottom"/>
          </w:tcPr>
          <w:p>
            <w:pPr>
              <w:pStyle w:val="TableContents"/>
              <w:bidi w:val="0"/>
              <w:spacing w:before="0" w:after="283"/>
              <w:jc w:val="left"/>
              <w:rPr/>
            </w:pPr>
            <w:r>
              <w:rPr/>
              <w:t> </w:t>
            </w:r>
          </w:p>
        </w:tc>
        <w:tc>
          <w:tcPr>
            <w:tcW w:w="8764" w:type="dxa"/>
            <w:tcBorders/>
          </w:tcPr>
          <w:p>
            <w:pPr>
              <w:pStyle w:val="TableContents"/>
              <w:bidi w:val="0"/>
              <w:spacing w:before="0" w:after="283"/>
              <w:jc w:val="left"/>
              <w:rPr/>
            </w:pPr>
            <w:hyperlink r:id="rId64">
              <w:r>
                <w:rPr>
                  <w:rStyle w:val="InternetLink"/>
                </w:rPr>
                <w:t xml:space="preserve">Form of Inducement Restricted Share Unit Agreement, effective May 2024.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3.1 to the Registrant’s Current Report on Form 8-K (File No. 001-37627), filed with the Securities and Exchange Commission on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3.2 to the Registrant’s Current Report on Form 8-K (File No. 001-37627), filed with the Securities and Exchange Commission on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4.2 to Wave-Singapore’s Registration Statement on Form S-1 (File No. 333-207379), filed with the Securities and Exchange Commission on October 9, 2015.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 to the Wave-Singapore’s Quarterly Report on Form 10-Q (File No. 001-37627), filed with the Securities and Exchange Commission on November 9,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 to the Wave-Singapore’s Quarterly Report on Form 10-Q (File No. 001-37627), filed with the Securities and Exchange Commission on August 15,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10.4 to Wave-Singapore’s Annual Report on Form 10-K (File No. 001-37627), filed with the Commission on March 23, 2023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10.5 to Wave-Singapore’s Annual Report on Form 10-K (File No. 001-37627), filed with the Commission on March 23, 2023 and incorporated herein by reference.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10.1 to Wave-Singapore’s Quarterly Report on Form 10-Q (File No. 001-37627), filed with the Securities and Exchange Commission on November 9,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(9)</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10.3 to the Registrant’s Current Report on Form 8-K (File No. 001-37627), filed with the Securities and Exchange Commission on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10.1 to Wave-Singapore’s Current Report on Form 8-K (File No. 001-37627), filed with the Securities and Exchange Commission on August 11,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10.6 to the Registrant’s Current Report on Form 8-K (File No. 001-37627), filed with the Securities and Exchange Commission on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 to Wave-Singapore’s Current Report on Form 8-K (File No. 001-37627), filed with the Securities and Exchange Commission on August 7,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 to Wave-Singapore’s Quarterly Report on Form 10-Q (File No. 001-37627), filed with the Commission on November 9, 2017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10.23.3 to Wave-Singapore’s Annual Report on Form 10-K (File No. 001-37627), filed with the Commission on March 1, 2019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10.3 to Wave-Singapore’s Annual Report on Form 10-K (File No. 001-37627), filed with the Commission on November 10, 2021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10.1 to Wave-Singapore’s Registration Statement on Form S-8 (File No. 333-208598), filed with the Commission on December 17, 2015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10.3 to Wave-Singapore’s Quarterly Report on Form 10-Q (File No. 001-37627), filed with the Commission on November 9, 2017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10.4 to Wave-Singapore’s Quarterly Report on Form 10-Q (File No. 001-37627), filed with the Commission on November 9, 2017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10.25.2 to Wave-Singapore’s Annual Report on Form 10-K (File No. 001-37627), filed with the Commission on March 1, 2019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10.1 to Wave-Singapore’s Quarterly Report on Form 10-Q (File No. 001-37627), filed with the Commission on May 10, 2019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10.4 to Wave-Singapore’s Quarterly Report on Form 10-Q (File No. 001-37627), filed with the Commission on November 10, 2021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 to Wave-Singapore’s Quarterly Report on Form 10-Q (File No. 001-37627), filed with the Commission on May 13, 2021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10.3 to Wave-Singapore’s Quarterly Report on Form 10-Q (File No. 001-37627), filed with the Commission on May 13, 2021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10.5 to Wave-Singapore’s Quarterly Report on Form 10-Q (File No. 001-37627), filed with the Commission on November 9, 2017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10.26.2 to Wave-Singapore’s Annual Report on Form 10-K (File No. 001-37627), filed with the Commission on March 1, 2019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10.5 to Wave-Singapore’s Quarterly Report on Form 10-Q (File No. 001-37627), filed with the Commission on November 10, 2021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10.6 to Wave-Singapore’s Quarterly Report on Form 10-Q (File No. 001-37627), filed with the Commission on November 10, 2021 and incorporated herein by reference.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10.4 to the Registrant’s Current Report on Form 8-K (File No. 001-37627), filed with the Securities and Exchange Commission on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10.5 to the Registrant’s Current Report on Form 8-K (File No. 001-37627), filed with the Securities and Exchange Commission on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10.1 to Wave-Singapore’s Quarterly Report on Form 10-Q (File No. 001-37627), filed with the Commission on August 8, 2024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Incorporated by reference to Exhibit 10.2 to Wave-Singapore’s Quarterly Report on Form 10-Q (File No. 001-37627), filed with the Commission on August 8, 2024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Confidential treatment has been granted with respect to certain portions of this exhibit. Omitted portions have been filed separately with the Securities and Exchange Commission.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9.</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Undertakings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7"/>
        <w:gridCol w:w="407"/>
        <w:gridCol w:w="7961"/>
      </w:tblGrid>
      <w:tr>
        <w:trPr/>
        <w:tc>
          <w:tcPr>
            <w:tcW w:w="183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in the effective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8"/>
        <w:gridCol w:w="7961"/>
      </w:tblGrid>
      <w:tr>
        <w:trPr/>
        <w:tc>
          <w:tcPr>
            <w:tcW w:w="183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796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of this section do not apply if the Registration Statement is on Form S-8,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Cambridge, Massachusetts, on August 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WAVE LIFE SCIENCES,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Paul B. Bolno, M.D., MBA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Paul B. Bolno, M.D., MBA</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SIGNATURES AND 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does hereby constitute and appoint Paul B. Bolno, M.D., MBA, and Kyle Moran, and each of them, with full power of substitution and full power to act without the others, his or her true and lawful attorney-in-fact and agent to act for him or her in his or her name, place and stead, in any and all capacities, to sign any and all amendments (including post-effective amendments) to the Registration Statements amended by this Post-Effective Amendment, and to file this Post-Effective Amendment, with all exhibits thereto, and other documents in connection therewith, with the SEC,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Post-Effective Amendment has been signed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58"/>
        <w:gridCol w:w="123"/>
        <w:gridCol w:w="4421"/>
        <w:gridCol w:w="108"/>
        <w:gridCol w:w="1695"/>
      </w:tblGrid>
      <w:tr>
        <w:trPr/>
        <w:tc>
          <w:tcPr>
            <w:tcW w:w="385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42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385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3" w:type="dxa"/>
            <w:tcBorders/>
            <w:vAlign w:val="bottom"/>
          </w:tcPr>
          <w:p>
            <w:pPr>
              <w:pStyle w:val="TableContents"/>
              <w:bidi w:val="0"/>
              <w:spacing w:before="0" w:after="283"/>
              <w:jc w:val="left"/>
              <w:rPr/>
            </w:pPr>
            <w:r>
              <w:rPr/>
              <w:t>  </w:t>
            </w:r>
          </w:p>
        </w:tc>
        <w:tc>
          <w:tcPr>
            <w:tcW w:w="442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8" w:type="dxa"/>
            <w:tcBorders/>
            <w:vAlign w:val="bottom"/>
          </w:tcPr>
          <w:p>
            <w:pPr>
              <w:pStyle w:val="TableContents"/>
              <w:bidi w:val="0"/>
              <w:spacing w:before="0" w:after="283"/>
              <w:jc w:val="left"/>
              <w:rPr/>
            </w:pPr>
            <w:r>
              <w:rPr/>
              <w:t> </w:t>
            </w:r>
          </w:p>
        </w:tc>
        <w:tc>
          <w:tcPr>
            <w:tcW w:w="16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120" w:hRule="atLeast"/>
        </w:trPr>
        <w:tc>
          <w:tcPr>
            <w:tcW w:w="3858" w:type="dxa"/>
            <w:tcBorders/>
            <w:vAlign w:val="center"/>
          </w:tcPr>
          <w:p>
            <w:pPr>
              <w:pStyle w:val="TableContents"/>
              <w:bidi w:val="0"/>
              <w:spacing w:before="0" w:after="283"/>
              <w:jc w:val="left"/>
              <w:rPr>
                <w:sz w:val="4"/>
                <w:szCs w:val="4"/>
              </w:rPr>
            </w:pPr>
            <w:r>
              <w:rPr>
                <w:sz w:val="4"/>
                <w:szCs w:val="4"/>
              </w:rPr>
            </w:r>
          </w:p>
        </w:tc>
        <w:tc>
          <w:tcPr>
            <w:tcW w:w="4544" w:type="dxa"/>
            <w:gridSpan w:val="2"/>
            <w:tcBorders/>
            <w:vAlign w:val="center"/>
          </w:tcPr>
          <w:p>
            <w:pPr>
              <w:pStyle w:val="TableContents"/>
              <w:bidi w:val="0"/>
              <w:spacing w:before="0" w:after="283"/>
              <w:jc w:val="left"/>
              <w:rPr>
                <w:sz w:val="4"/>
                <w:szCs w:val="4"/>
              </w:rPr>
            </w:pPr>
            <w:r>
              <w:rPr>
                <w:sz w:val="4"/>
                <w:szCs w:val="4"/>
              </w:rPr>
            </w:r>
          </w:p>
        </w:tc>
        <w:tc>
          <w:tcPr>
            <w:tcW w:w="1803" w:type="dxa"/>
            <w:gridSpan w:val="2"/>
            <w:tcBorders/>
            <w:vAlign w:val="center"/>
          </w:tcPr>
          <w:p>
            <w:pPr>
              <w:pStyle w:val="TableContents"/>
              <w:bidi w:val="0"/>
              <w:spacing w:before="0" w:after="283"/>
              <w:jc w:val="left"/>
              <w:rPr>
                <w:sz w:val="4"/>
                <w:szCs w:val="4"/>
              </w:rPr>
            </w:pPr>
            <w:r>
              <w:rPr>
                <w:sz w:val="4"/>
                <w:szCs w:val="4"/>
              </w:rPr>
            </w:r>
          </w:p>
        </w:tc>
      </w:tr>
      <w:tr>
        <w:trPr/>
        <w:tc>
          <w:tcPr>
            <w:tcW w:w="38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Paul B. Bolno, M.D., MBA</w:t>
            </w:r>
          </w:p>
          <w:p>
            <w:pPr>
              <w:pStyle w:val="TableContents"/>
              <w:bidi w:val="0"/>
              <w:spacing w:before="0" w:after="20"/>
              <w:jc w:val="center"/>
              <w:rPr>
                <w:rFonts w:ascii="Times New Roman" w:hAnsi="Times New Roman"/>
                <w:sz w:val="20"/>
              </w:rPr>
            </w:pPr>
            <w:r>
              <w:rPr>
                <w:rFonts w:ascii="Times New Roman" w:hAnsi="Times New Roman"/>
                <w:sz w:val="20"/>
              </w:rPr>
              <w:t>Paul B. Bolno, M.D., MBA</w:t>
            </w:r>
          </w:p>
        </w:tc>
        <w:tc>
          <w:tcPr>
            <w:tcW w:w="123" w:type="dxa"/>
            <w:tcBorders/>
            <w:vAlign w:val="bottom"/>
          </w:tcPr>
          <w:p>
            <w:pPr>
              <w:pStyle w:val="TableContents"/>
              <w:bidi w:val="0"/>
              <w:spacing w:before="0" w:after="283"/>
              <w:jc w:val="left"/>
              <w:rPr/>
            </w:pPr>
            <w:r>
              <w:rPr/>
              <w:t>  </w:t>
            </w:r>
          </w:p>
        </w:tc>
        <w:tc>
          <w:tcPr>
            <w:tcW w:w="4421"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c>
          <w:tcPr>
            <w:tcW w:w="108"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August 7, 2026</w:t>
            </w:r>
          </w:p>
        </w:tc>
      </w:tr>
      <w:tr>
        <w:trPr>
          <w:trHeight w:val="120" w:hRule="atLeast"/>
        </w:trPr>
        <w:tc>
          <w:tcPr>
            <w:tcW w:w="3858" w:type="dxa"/>
            <w:tcBorders/>
            <w:vAlign w:val="center"/>
          </w:tcPr>
          <w:p>
            <w:pPr>
              <w:pStyle w:val="TableContents"/>
              <w:bidi w:val="0"/>
              <w:spacing w:before="0" w:after="283"/>
              <w:jc w:val="left"/>
              <w:rPr>
                <w:sz w:val="4"/>
                <w:szCs w:val="4"/>
              </w:rPr>
            </w:pPr>
            <w:r>
              <w:rPr>
                <w:sz w:val="4"/>
                <w:szCs w:val="4"/>
              </w:rPr>
            </w:r>
          </w:p>
        </w:tc>
        <w:tc>
          <w:tcPr>
            <w:tcW w:w="4544" w:type="dxa"/>
            <w:gridSpan w:val="2"/>
            <w:tcBorders/>
            <w:vAlign w:val="center"/>
          </w:tcPr>
          <w:p>
            <w:pPr>
              <w:pStyle w:val="TableContents"/>
              <w:bidi w:val="0"/>
              <w:spacing w:before="0" w:after="283"/>
              <w:jc w:val="left"/>
              <w:rPr>
                <w:sz w:val="4"/>
                <w:szCs w:val="4"/>
              </w:rPr>
            </w:pPr>
            <w:r>
              <w:rPr>
                <w:sz w:val="4"/>
                <w:szCs w:val="4"/>
              </w:rPr>
            </w:r>
          </w:p>
        </w:tc>
        <w:tc>
          <w:tcPr>
            <w:tcW w:w="1803" w:type="dxa"/>
            <w:gridSpan w:val="2"/>
            <w:tcBorders/>
            <w:vAlign w:val="center"/>
          </w:tcPr>
          <w:p>
            <w:pPr>
              <w:pStyle w:val="TableContents"/>
              <w:bidi w:val="0"/>
              <w:spacing w:before="0" w:after="283"/>
              <w:jc w:val="left"/>
              <w:rPr>
                <w:sz w:val="4"/>
                <w:szCs w:val="4"/>
              </w:rPr>
            </w:pPr>
            <w:r>
              <w:rPr>
                <w:sz w:val="4"/>
                <w:szCs w:val="4"/>
              </w:rPr>
            </w:r>
          </w:p>
        </w:tc>
      </w:tr>
      <w:tr>
        <w:trPr/>
        <w:tc>
          <w:tcPr>
            <w:tcW w:w="38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Kyle Moran</w:t>
            </w:r>
          </w:p>
          <w:p>
            <w:pPr>
              <w:pStyle w:val="TableContents"/>
              <w:bidi w:val="0"/>
              <w:spacing w:before="0" w:after="20"/>
              <w:jc w:val="center"/>
              <w:rPr>
                <w:rFonts w:ascii="Times New Roman" w:hAnsi="Times New Roman"/>
                <w:sz w:val="20"/>
              </w:rPr>
            </w:pPr>
            <w:r>
              <w:rPr>
                <w:rFonts w:ascii="Times New Roman" w:hAnsi="Times New Roman"/>
                <w:sz w:val="20"/>
              </w:rPr>
              <w:t>Kyle Moran</w:t>
            </w:r>
          </w:p>
        </w:tc>
        <w:tc>
          <w:tcPr>
            <w:tcW w:w="123" w:type="dxa"/>
            <w:tcBorders/>
            <w:vAlign w:val="bottom"/>
          </w:tcPr>
          <w:p>
            <w:pPr>
              <w:pStyle w:val="TableContents"/>
              <w:bidi w:val="0"/>
              <w:spacing w:before="0" w:after="283"/>
              <w:jc w:val="left"/>
              <w:rPr/>
            </w:pPr>
            <w:r>
              <w:rPr/>
              <w:t>  </w:t>
            </w:r>
          </w:p>
        </w:tc>
        <w:tc>
          <w:tcPr>
            <w:tcW w:w="442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Principal Financial and Accounting Officer</w:t>
            </w:r>
            <w:r>
              <w:rPr>
                <w:rFonts w:ascii="Times New Roman" w:hAnsi="Times New Roman"/>
                <w:sz w:val="20"/>
              </w:rPr>
              <w:t>)</w:t>
            </w:r>
          </w:p>
        </w:tc>
        <w:tc>
          <w:tcPr>
            <w:tcW w:w="108"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August 7, 2026</w:t>
            </w:r>
          </w:p>
        </w:tc>
      </w:tr>
      <w:tr>
        <w:trPr>
          <w:trHeight w:val="120" w:hRule="atLeast"/>
        </w:trPr>
        <w:tc>
          <w:tcPr>
            <w:tcW w:w="3858" w:type="dxa"/>
            <w:tcBorders/>
            <w:vAlign w:val="center"/>
          </w:tcPr>
          <w:p>
            <w:pPr>
              <w:pStyle w:val="TableContents"/>
              <w:bidi w:val="0"/>
              <w:spacing w:before="0" w:after="283"/>
              <w:jc w:val="left"/>
              <w:rPr>
                <w:sz w:val="4"/>
                <w:szCs w:val="4"/>
              </w:rPr>
            </w:pPr>
            <w:r>
              <w:rPr>
                <w:sz w:val="4"/>
                <w:szCs w:val="4"/>
              </w:rPr>
            </w:r>
          </w:p>
        </w:tc>
        <w:tc>
          <w:tcPr>
            <w:tcW w:w="4544" w:type="dxa"/>
            <w:gridSpan w:val="2"/>
            <w:tcBorders/>
            <w:vAlign w:val="center"/>
          </w:tcPr>
          <w:p>
            <w:pPr>
              <w:pStyle w:val="TableContents"/>
              <w:bidi w:val="0"/>
              <w:spacing w:before="0" w:after="283"/>
              <w:jc w:val="left"/>
              <w:rPr>
                <w:sz w:val="4"/>
                <w:szCs w:val="4"/>
              </w:rPr>
            </w:pPr>
            <w:r>
              <w:rPr>
                <w:sz w:val="4"/>
                <w:szCs w:val="4"/>
              </w:rPr>
            </w:r>
          </w:p>
        </w:tc>
        <w:tc>
          <w:tcPr>
            <w:tcW w:w="1803" w:type="dxa"/>
            <w:gridSpan w:val="2"/>
            <w:tcBorders/>
            <w:vAlign w:val="center"/>
          </w:tcPr>
          <w:p>
            <w:pPr>
              <w:pStyle w:val="TableContents"/>
              <w:bidi w:val="0"/>
              <w:spacing w:before="0" w:after="283"/>
              <w:jc w:val="left"/>
              <w:rPr>
                <w:sz w:val="4"/>
                <w:szCs w:val="4"/>
              </w:rPr>
            </w:pPr>
            <w:r>
              <w:rPr>
                <w:sz w:val="4"/>
                <w:szCs w:val="4"/>
              </w:rPr>
            </w:r>
          </w:p>
        </w:tc>
      </w:tr>
      <w:tr>
        <w:trPr/>
        <w:tc>
          <w:tcPr>
            <w:tcW w:w="38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Christian Henry</w:t>
            </w:r>
          </w:p>
          <w:p>
            <w:pPr>
              <w:pStyle w:val="TableContents"/>
              <w:bidi w:val="0"/>
              <w:spacing w:before="0" w:after="20"/>
              <w:jc w:val="center"/>
              <w:rPr>
                <w:rFonts w:ascii="Times New Roman" w:hAnsi="Times New Roman"/>
                <w:sz w:val="20"/>
              </w:rPr>
            </w:pPr>
            <w:r>
              <w:rPr>
                <w:rFonts w:ascii="Times New Roman" w:hAnsi="Times New Roman"/>
                <w:sz w:val="20"/>
              </w:rPr>
              <w:t>Christian Henry</w:t>
            </w:r>
          </w:p>
        </w:tc>
        <w:tc>
          <w:tcPr>
            <w:tcW w:w="123" w:type="dxa"/>
            <w:tcBorders/>
            <w:vAlign w:val="bottom"/>
          </w:tcPr>
          <w:p>
            <w:pPr>
              <w:pStyle w:val="TableContents"/>
              <w:bidi w:val="0"/>
              <w:spacing w:before="0" w:after="283"/>
              <w:jc w:val="left"/>
              <w:rPr/>
            </w:pPr>
            <w:r>
              <w:rPr/>
              <w:t>  </w:t>
            </w:r>
          </w:p>
        </w:tc>
        <w:tc>
          <w:tcPr>
            <w:tcW w:w="4421" w:type="dxa"/>
            <w:tcBorders/>
          </w:tcPr>
          <w:p>
            <w:pPr>
              <w:pStyle w:val="TableContents"/>
              <w:bidi w:val="0"/>
              <w:spacing w:before="0" w:after="283"/>
              <w:jc w:val="left"/>
              <w:rPr/>
            </w:pPr>
            <w:r>
              <w:rPr/>
              <w:t>Chairman of the Board</w:t>
            </w:r>
          </w:p>
        </w:tc>
        <w:tc>
          <w:tcPr>
            <w:tcW w:w="108"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August 7, 2026</w:t>
            </w:r>
          </w:p>
        </w:tc>
      </w:tr>
      <w:tr>
        <w:trPr>
          <w:trHeight w:val="120" w:hRule="atLeast"/>
        </w:trPr>
        <w:tc>
          <w:tcPr>
            <w:tcW w:w="3858" w:type="dxa"/>
            <w:tcBorders/>
            <w:vAlign w:val="center"/>
          </w:tcPr>
          <w:p>
            <w:pPr>
              <w:pStyle w:val="TableContents"/>
              <w:bidi w:val="0"/>
              <w:spacing w:before="0" w:after="283"/>
              <w:jc w:val="left"/>
              <w:rPr>
                <w:sz w:val="4"/>
                <w:szCs w:val="4"/>
              </w:rPr>
            </w:pPr>
            <w:r>
              <w:rPr>
                <w:sz w:val="4"/>
                <w:szCs w:val="4"/>
              </w:rPr>
            </w:r>
          </w:p>
        </w:tc>
        <w:tc>
          <w:tcPr>
            <w:tcW w:w="4544" w:type="dxa"/>
            <w:gridSpan w:val="2"/>
            <w:tcBorders/>
            <w:vAlign w:val="center"/>
          </w:tcPr>
          <w:p>
            <w:pPr>
              <w:pStyle w:val="TableContents"/>
              <w:bidi w:val="0"/>
              <w:spacing w:before="0" w:after="283"/>
              <w:jc w:val="left"/>
              <w:rPr>
                <w:sz w:val="4"/>
                <w:szCs w:val="4"/>
              </w:rPr>
            </w:pPr>
            <w:r>
              <w:rPr>
                <w:sz w:val="4"/>
                <w:szCs w:val="4"/>
              </w:rPr>
            </w:r>
          </w:p>
        </w:tc>
        <w:tc>
          <w:tcPr>
            <w:tcW w:w="1803" w:type="dxa"/>
            <w:gridSpan w:val="2"/>
            <w:tcBorders/>
            <w:vAlign w:val="center"/>
          </w:tcPr>
          <w:p>
            <w:pPr>
              <w:pStyle w:val="TableContents"/>
              <w:bidi w:val="0"/>
              <w:spacing w:before="0" w:after="283"/>
              <w:jc w:val="left"/>
              <w:rPr>
                <w:sz w:val="4"/>
                <w:szCs w:val="4"/>
              </w:rPr>
            </w:pPr>
            <w:r>
              <w:rPr>
                <w:sz w:val="4"/>
                <w:szCs w:val="4"/>
              </w:rPr>
            </w:r>
          </w:p>
        </w:tc>
      </w:tr>
      <w:tr>
        <w:trPr/>
        <w:tc>
          <w:tcPr>
            <w:tcW w:w="38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Mark H. N. Corrigan, M.D.</w:t>
            </w:r>
          </w:p>
          <w:p>
            <w:pPr>
              <w:pStyle w:val="TableContents"/>
              <w:bidi w:val="0"/>
              <w:spacing w:before="0" w:after="20"/>
              <w:jc w:val="center"/>
              <w:rPr>
                <w:rFonts w:ascii="Times New Roman" w:hAnsi="Times New Roman"/>
                <w:sz w:val="20"/>
              </w:rPr>
            </w:pPr>
            <w:r>
              <w:rPr>
                <w:rFonts w:ascii="Times New Roman" w:hAnsi="Times New Roman"/>
                <w:sz w:val="20"/>
              </w:rPr>
              <w:t>Mark H. N. Corrigan, M.D.</w:t>
            </w:r>
          </w:p>
        </w:tc>
        <w:tc>
          <w:tcPr>
            <w:tcW w:w="123" w:type="dxa"/>
            <w:tcBorders/>
            <w:vAlign w:val="bottom"/>
          </w:tcPr>
          <w:p>
            <w:pPr>
              <w:pStyle w:val="TableContents"/>
              <w:bidi w:val="0"/>
              <w:spacing w:before="0" w:after="283"/>
              <w:jc w:val="left"/>
              <w:rPr/>
            </w:pPr>
            <w:r>
              <w:rPr/>
              <w:t>  </w:t>
            </w:r>
          </w:p>
        </w:tc>
        <w:tc>
          <w:tcPr>
            <w:tcW w:w="4421"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August 7, 2026</w:t>
            </w:r>
          </w:p>
        </w:tc>
      </w:tr>
      <w:tr>
        <w:trPr>
          <w:trHeight w:val="120" w:hRule="atLeast"/>
        </w:trPr>
        <w:tc>
          <w:tcPr>
            <w:tcW w:w="3858" w:type="dxa"/>
            <w:tcBorders/>
            <w:vAlign w:val="center"/>
          </w:tcPr>
          <w:p>
            <w:pPr>
              <w:pStyle w:val="TableContents"/>
              <w:bidi w:val="0"/>
              <w:spacing w:before="0" w:after="283"/>
              <w:jc w:val="left"/>
              <w:rPr>
                <w:sz w:val="4"/>
                <w:szCs w:val="4"/>
              </w:rPr>
            </w:pPr>
            <w:r>
              <w:rPr>
                <w:sz w:val="4"/>
                <w:szCs w:val="4"/>
              </w:rPr>
            </w:r>
          </w:p>
        </w:tc>
        <w:tc>
          <w:tcPr>
            <w:tcW w:w="4544" w:type="dxa"/>
            <w:gridSpan w:val="2"/>
            <w:tcBorders/>
            <w:vAlign w:val="center"/>
          </w:tcPr>
          <w:p>
            <w:pPr>
              <w:pStyle w:val="TableContents"/>
              <w:bidi w:val="0"/>
              <w:spacing w:before="0" w:after="283"/>
              <w:jc w:val="left"/>
              <w:rPr>
                <w:sz w:val="4"/>
                <w:szCs w:val="4"/>
              </w:rPr>
            </w:pPr>
            <w:r>
              <w:rPr>
                <w:sz w:val="4"/>
                <w:szCs w:val="4"/>
              </w:rPr>
            </w:r>
          </w:p>
        </w:tc>
        <w:tc>
          <w:tcPr>
            <w:tcW w:w="1803" w:type="dxa"/>
            <w:gridSpan w:val="2"/>
            <w:tcBorders/>
            <w:vAlign w:val="center"/>
          </w:tcPr>
          <w:p>
            <w:pPr>
              <w:pStyle w:val="TableContents"/>
              <w:bidi w:val="0"/>
              <w:spacing w:before="0" w:after="283"/>
              <w:jc w:val="left"/>
              <w:rPr>
                <w:sz w:val="4"/>
                <w:szCs w:val="4"/>
              </w:rPr>
            </w:pPr>
            <w:r>
              <w:rPr>
                <w:sz w:val="4"/>
                <w:szCs w:val="4"/>
              </w:rPr>
            </w:r>
          </w:p>
        </w:tc>
      </w:tr>
      <w:tr>
        <w:trPr/>
        <w:tc>
          <w:tcPr>
            <w:tcW w:w="38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Kolchinsky, Ph.D.</w:t>
            </w:r>
          </w:p>
          <w:p>
            <w:pPr>
              <w:pStyle w:val="TableContents"/>
              <w:bidi w:val="0"/>
              <w:spacing w:before="0" w:after="20"/>
              <w:jc w:val="center"/>
              <w:rPr>
                <w:rFonts w:ascii="Times New Roman" w:hAnsi="Times New Roman"/>
                <w:sz w:val="20"/>
              </w:rPr>
            </w:pPr>
            <w:r>
              <w:rPr>
                <w:rFonts w:ascii="Times New Roman" w:hAnsi="Times New Roman"/>
                <w:sz w:val="20"/>
              </w:rPr>
              <w:t>Peter Kolchinsky, Ph.D.</w:t>
            </w:r>
          </w:p>
        </w:tc>
        <w:tc>
          <w:tcPr>
            <w:tcW w:w="123" w:type="dxa"/>
            <w:tcBorders/>
            <w:vAlign w:val="bottom"/>
          </w:tcPr>
          <w:p>
            <w:pPr>
              <w:pStyle w:val="TableContents"/>
              <w:bidi w:val="0"/>
              <w:spacing w:before="0" w:after="283"/>
              <w:jc w:val="left"/>
              <w:rPr/>
            </w:pPr>
            <w:r>
              <w:rPr/>
              <w:t>  </w:t>
            </w:r>
          </w:p>
        </w:tc>
        <w:tc>
          <w:tcPr>
            <w:tcW w:w="4421"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August 7, 2026</w:t>
            </w:r>
          </w:p>
        </w:tc>
      </w:tr>
      <w:tr>
        <w:trPr>
          <w:trHeight w:val="120" w:hRule="atLeast"/>
        </w:trPr>
        <w:tc>
          <w:tcPr>
            <w:tcW w:w="3858" w:type="dxa"/>
            <w:tcBorders/>
            <w:vAlign w:val="center"/>
          </w:tcPr>
          <w:p>
            <w:pPr>
              <w:pStyle w:val="TableContents"/>
              <w:bidi w:val="0"/>
              <w:spacing w:before="0" w:after="283"/>
              <w:jc w:val="left"/>
              <w:rPr>
                <w:sz w:val="4"/>
                <w:szCs w:val="4"/>
              </w:rPr>
            </w:pPr>
            <w:r>
              <w:rPr>
                <w:sz w:val="4"/>
                <w:szCs w:val="4"/>
              </w:rPr>
            </w:r>
          </w:p>
        </w:tc>
        <w:tc>
          <w:tcPr>
            <w:tcW w:w="4544" w:type="dxa"/>
            <w:gridSpan w:val="2"/>
            <w:tcBorders/>
            <w:vAlign w:val="center"/>
          </w:tcPr>
          <w:p>
            <w:pPr>
              <w:pStyle w:val="TableContents"/>
              <w:bidi w:val="0"/>
              <w:spacing w:before="0" w:after="283"/>
              <w:jc w:val="left"/>
              <w:rPr>
                <w:sz w:val="4"/>
                <w:szCs w:val="4"/>
              </w:rPr>
            </w:pPr>
            <w:r>
              <w:rPr>
                <w:sz w:val="4"/>
                <w:szCs w:val="4"/>
              </w:rPr>
            </w:r>
          </w:p>
        </w:tc>
        <w:tc>
          <w:tcPr>
            <w:tcW w:w="1803" w:type="dxa"/>
            <w:gridSpan w:val="2"/>
            <w:tcBorders/>
            <w:vAlign w:val="center"/>
          </w:tcPr>
          <w:p>
            <w:pPr>
              <w:pStyle w:val="TableContents"/>
              <w:bidi w:val="0"/>
              <w:spacing w:before="0" w:after="283"/>
              <w:jc w:val="left"/>
              <w:rPr>
                <w:sz w:val="4"/>
                <w:szCs w:val="4"/>
              </w:rPr>
            </w:pPr>
            <w:r>
              <w:rPr>
                <w:sz w:val="4"/>
                <w:szCs w:val="4"/>
              </w:rPr>
            </w:r>
          </w:p>
        </w:tc>
      </w:tr>
      <w:tr>
        <w:trPr/>
        <w:tc>
          <w:tcPr>
            <w:tcW w:w="3858"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Adrian Rawcliffe</w:t>
            </w:r>
          </w:p>
          <w:p>
            <w:pPr>
              <w:pStyle w:val="TableContents"/>
              <w:bidi w:val="0"/>
              <w:spacing w:before="0" w:after="20"/>
              <w:jc w:val="center"/>
              <w:rPr>
                <w:rFonts w:ascii="Times New Roman" w:hAnsi="Times New Roman"/>
                <w:sz w:val="20"/>
              </w:rPr>
            </w:pPr>
            <w:r>
              <w:rPr>
                <w:rFonts w:ascii="Times New Roman" w:hAnsi="Times New Roman"/>
                <w:sz w:val="20"/>
              </w:rPr>
              <w:t>Adrian Rawcliffe</w:t>
            </w:r>
          </w:p>
        </w:tc>
        <w:tc>
          <w:tcPr>
            <w:tcW w:w="123" w:type="dxa"/>
            <w:tcBorders/>
            <w:vAlign w:val="bottom"/>
          </w:tcPr>
          <w:p>
            <w:pPr>
              <w:pStyle w:val="TableContents"/>
              <w:bidi w:val="0"/>
              <w:spacing w:before="0" w:after="283"/>
              <w:jc w:val="left"/>
              <w:rPr/>
            </w:pPr>
            <w:r>
              <w:rPr/>
              <w:t>  </w:t>
            </w:r>
          </w:p>
        </w:tc>
        <w:tc>
          <w:tcPr>
            <w:tcW w:w="4421" w:type="dxa"/>
            <w:tcBorders/>
          </w:tcPr>
          <w:p>
            <w:pPr>
              <w:pStyle w:val="TableContents"/>
              <w:bidi w:val="0"/>
              <w:spacing w:before="0" w:after="283"/>
              <w:jc w:val="left"/>
              <w:rPr/>
            </w:pPr>
            <w:r>
              <w:rPr/>
              <w:t>Director</w:t>
            </w:r>
          </w:p>
        </w:tc>
        <w:tc>
          <w:tcPr>
            <w:tcW w:w="108" w:type="dxa"/>
            <w:tcBorders/>
            <w:vAlign w:val="bottom"/>
          </w:tcPr>
          <w:p>
            <w:pPr>
              <w:pStyle w:val="TableContents"/>
              <w:bidi w:val="0"/>
              <w:spacing w:before="0" w:after="283"/>
              <w:jc w:val="left"/>
              <w:rPr/>
            </w:pPr>
            <w:r>
              <w:rPr/>
              <w:t> </w:t>
            </w:r>
          </w:p>
        </w:tc>
        <w:tc>
          <w:tcPr>
            <w:tcW w:w="1695" w:type="dxa"/>
            <w:tcBorders/>
          </w:tcPr>
          <w:p>
            <w:pPr>
              <w:pStyle w:val="TableContents"/>
              <w:bidi w:val="0"/>
              <w:spacing w:before="0" w:after="283"/>
              <w:jc w:val="left"/>
              <w:rPr/>
            </w:pPr>
            <w:r>
              <w:rPr/>
              <w:t>August 7, 2026</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3859"/>
        <w:gridCol w:w="122"/>
        <w:gridCol w:w="4415"/>
        <w:gridCol w:w="109"/>
        <w:gridCol w:w="1700"/>
      </w:tblGrid>
      <w:tr>
        <w:trPr/>
        <w:tc>
          <w:tcPr>
            <w:tcW w:w="385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41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3859"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Ken Takanashi, MBA, CPA</w:t>
            </w:r>
          </w:p>
          <w:p>
            <w:pPr>
              <w:pStyle w:val="TableContents"/>
              <w:bidi w:val="0"/>
              <w:spacing w:before="0" w:after="20"/>
              <w:jc w:val="center"/>
              <w:rPr>
                <w:rFonts w:ascii="Times New Roman" w:hAnsi="Times New Roman"/>
                <w:sz w:val="20"/>
              </w:rPr>
            </w:pPr>
            <w:r>
              <w:rPr>
                <w:rFonts w:ascii="Times New Roman" w:hAnsi="Times New Roman"/>
                <w:sz w:val="20"/>
              </w:rPr>
              <w:t>Ken Takanashi, MBA, CPA</w:t>
            </w:r>
          </w:p>
        </w:tc>
        <w:tc>
          <w:tcPr>
            <w:tcW w:w="122" w:type="dxa"/>
            <w:tcBorders/>
            <w:vAlign w:val="bottom"/>
          </w:tcPr>
          <w:p>
            <w:pPr>
              <w:pStyle w:val="TableContents"/>
              <w:bidi w:val="0"/>
              <w:spacing w:before="0" w:after="283"/>
              <w:jc w:val="left"/>
              <w:rPr/>
            </w:pPr>
            <w:r>
              <w:rPr/>
              <w:t>  </w:t>
            </w:r>
          </w:p>
        </w:tc>
        <w:tc>
          <w:tcPr>
            <w:tcW w:w="4415" w:type="dxa"/>
            <w:tcBorders/>
          </w:tcPr>
          <w:p>
            <w:pPr>
              <w:pStyle w:val="TableContents"/>
              <w:bidi w:val="0"/>
              <w:spacing w:before="0" w:after="283"/>
              <w:jc w:val="left"/>
              <w:rPr/>
            </w:pPr>
            <w:r>
              <w:rPr/>
              <w:t>Director</w:t>
            </w:r>
          </w:p>
        </w:tc>
        <w:tc>
          <w:tcPr>
            <w:tcW w:w="109"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left"/>
              <w:rPr/>
            </w:pPr>
            <w:r>
              <w:rPr/>
              <w:t>August 7, 2026</w:t>
            </w:r>
          </w:p>
        </w:tc>
      </w:tr>
      <w:tr>
        <w:trPr>
          <w:trHeight w:val="120" w:hRule="atLeast"/>
        </w:trPr>
        <w:tc>
          <w:tcPr>
            <w:tcW w:w="3859"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Aik-Na Tan</w:t>
            </w:r>
          </w:p>
          <w:p>
            <w:pPr>
              <w:pStyle w:val="TableContents"/>
              <w:bidi w:val="0"/>
              <w:spacing w:before="0" w:after="20"/>
              <w:jc w:val="center"/>
              <w:rPr>
                <w:rFonts w:ascii="Times New Roman" w:hAnsi="Times New Roman"/>
                <w:sz w:val="20"/>
              </w:rPr>
            </w:pPr>
            <w:r>
              <w:rPr>
                <w:rFonts w:ascii="Times New Roman" w:hAnsi="Times New Roman"/>
                <w:sz w:val="20"/>
              </w:rPr>
              <w:t>Aik-Na Tan</w:t>
            </w:r>
          </w:p>
        </w:tc>
        <w:tc>
          <w:tcPr>
            <w:tcW w:w="122" w:type="dxa"/>
            <w:tcBorders/>
            <w:vAlign w:val="bottom"/>
          </w:tcPr>
          <w:p>
            <w:pPr>
              <w:pStyle w:val="TableContents"/>
              <w:bidi w:val="0"/>
              <w:spacing w:before="0" w:after="283"/>
              <w:jc w:val="left"/>
              <w:rPr/>
            </w:pPr>
            <w:r>
              <w:rPr/>
              <w:t>  </w:t>
            </w:r>
          </w:p>
        </w:tc>
        <w:tc>
          <w:tcPr>
            <w:tcW w:w="4415" w:type="dxa"/>
            <w:tcBorders/>
          </w:tcPr>
          <w:p>
            <w:pPr>
              <w:pStyle w:val="TableContents"/>
              <w:bidi w:val="0"/>
              <w:spacing w:before="0" w:after="283"/>
              <w:jc w:val="left"/>
              <w:rPr/>
            </w:pPr>
            <w:r>
              <w:rPr/>
              <w:t>Director</w:t>
            </w:r>
          </w:p>
        </w:tc>
        <w:tc>
          <w:tcPr>
            <w:tcW w:w="109"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left"/>
              <w:rPr/>
            </w:pPr>
            <w:r>
              <w:rPr/>
              <w:t>August 7, 2026</w:t>
            </w:r>
          </w:p>
        </w:tc>
      </w:tr>
      <w:tr>
        <w:trPr>
          <w:trHeight w:val="120" w:hRule="atLeast"/>
        </w:trPr>
        <w:tc>
          <w:tcPr>
            <w:tcW w:w="3859"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Gregory L. Verdine, Ph.D.</w:t>
            </w:r>
          </w:p>
          <w:p>
            <w:pPr>
              <w:pStyle w:val="TableContents"/>
              <w:bidi w:val="0"/>
              <w:spacing w:before="0" w:after="20"/>
              <w:jc w:val="center"/>
              <w:rPr>
                <w:rFonts w:ascii="Times New Roman" w:hAnsi="Times New Roman"/>
                <w:sz w:val="20"/>
              </w:rPr>
            </w:pPr>
            <w:r>
              <w:rPr>
                <w:rFonts w:ascii="Times New Roman" w:hAnsi="Times New Roman"/>
                <w:sz w:val="20"/>
              </w:rPr>
              <w:t>Gregory L. Verdine, Ph.D.</w:t>
            </w:r>
          </w:p>
        </w:tc>
        <w:tc>
          <w:tcPr>
            <w:tcW w:w="122" w:type="dxa"/>
            <w:tcBorders/>
            <w:vAlign w:val="bottom"/>
          </w:tcPr>
          <w:p>
            <w:pPr>
              <w:pStyle w:val="TableContents"/>
              <w:bidi w:val="0"/>
              <w:spacing w:before="0" w:after="283"/>
              <w:jc w:val="left"/>
              <w:rPr/>
            </w:pPr>
            <w:r>
              <w:rPr/>
              <w:t>  </w:t>
            </w:r>
          </w:p>
        </w:tc>
        <w:tc>
          <w:tcPr>
            <w:tcW w:w="4415" w:type="dxa"/>
            <w:tcBorders/>
          </w:tcPr>
          <w:p>
            <w:pPr>
              <w:pStyle w:val="TableContents"/>
              <w:bidi w:val="0"/>
              <w:spacing w:before="0" w:after="283"/>
              <w:jc w:val="left"/>
              <w:rPr/>
            </w:pPr>
            <w:r>
              <w:rPr/>
              <w:t>Director</w:t>
            </w:r>
          </w:p>
        </w:tc>
        <w:tc>
          <w:tcPr>
            <w:tcW w:w="109"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left"/>
              <w:rPr/>
            </w:pPr>
            <w:r>
              <w:rPr/>
              <w:t>August 7, 2026</w:t>
            </w:r>
          </w:p>
        </w:tc>
      </w:tr>
      <w:tr>
        <w:trPr>
          <w:trHeight w:val="120" w:hRule="atLeast"/>
        </w:trPr>
        <w:tc>
          <w:tcPr>
            <w:tcW w:w="3859" w:type="dxa"/>
            <w:tcBorders/>
            <w:vAlign w:val="center"/>
          </w:tcPr>
          <w:p>
            <w:pPr>
              <w:pStyle w:val="TableContents"/>
              <w:bidi w:val="0"/>
              <w:spacing w:before="0" w:after="283"/>
              <w:jc w:val="left"/>
              <w:rPr>
                <w:sz w:val="4"/>
                <w:szCs w:val="4"/>
              </w:rPr>
            </w:pPr>
            <w:r>
              <w:rPr>
                <w:sz w:val="4"/>
                <w:szCs w:val="4"/>
              </w:rPr>
            </w:r>
          </w:p>
        </w:tc>
        <w:tc>
          <w:tcPr>
            <w:tcW w:w="4537" w:type="dxa"/>
            <w:gridSpan w:val="2"/>
            <w:tcBorders/>
            <w:vAlign w:val="center"/>
          </w:tcPr>
          <w:p>
            <w:pPr>
              <w:pStyle w:val="TableContents"/>
              <w:bidi w:val="0"/>
              <w:spacing w:before="0" w:after="283"/>
              <w:jc w:val="left"/>
              <w:rPr>
                <w:sz w:val="4"/>
                <w:szCs w:val="4"/>
              </w:rPr>
            </w:pPr>
            <w:r>
              <w:rPr>
                <w:sz w:val="4"/>
                <w:szCs w:val="4"/>
              </w:rPr>
            </w:r>
          </w:p>
        </w:tc>
        <w:tc>
          <w:tcPr>
            <w:tcW w:w="1809" w:type="dxa"/>
            <w:gridSpan w:val="2"/>
            <w:tcBorders/>
            <w:vAlign w:val="center"/>
          </w:tcPr>
          <w:p>
            <w:pPr>
              <w:pStyle w:val="TableContents"/>
              <w:bidi w:val="0"/>
              <w:spacing w:before="0" w:after="283"/>
              <w:jc w:val="left"/>
              <w:rPr>
                <w:sz w:val="4"/>
                <w:szCs w:val="4"/>
              </w:rPr>
            </w:pPr>
            <w:r>
              <w:rPr>
                <w:sz w:val="4"/>
                <w:szCs w:val="4"/>
              </w:rPr>
            </w:r>
          </w:p>
        </w:tc>
      </w:tr>
      <w:tr>
        <w:trPr/>
        <w:tc>
          <w:tcPr>
            <w:tcW w:w="3859"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Heidi L. Wagner, J.D.</w:t>
            </w:r>
          </w:p>
          <w:p>
            <w:pPr>
              <w:pStyle w:val="TableContents"/>
              <w:bidi w:val="0"/>
              <w:spacing w:before="0" w:after="20"/>
              <w:jc w:val="center"/>
              <w:rPr>
                <w:rFonts w:ascii="Times New Roman" w:hAnsi="Times New Roman"/>
                <w:sz w:val="20"/>
              </w:rPr>
            </w:pPr>
            <w:r>
              <w:rPr>
                <w:rFonts w:ascii="Times New Roman" w:hAnsi="Times New Roman"/>
                <w:sz w:val="20"/>
              </w:rPr>
              <w:t>Heidi L. Wagner, J.D.</w:t>
            </w:r>
          </w:p>
        </w:tc>
        <w:tc>
          <w:tcPr>
            <w:tcW w:w="122" w:type="dxa"/>
            <w:tcBorders/>
            <w:vAlign w:val="bottom"/>
          </w:tcPr>
          <w:p>
            <w:pPr>
              <w:pStyle w:val="TableContents"/>
              <w:bidi w:val="0"/>
              <w:spacing w:before="0" w:after="283"/>
              <w:jc w:val="left"/>
              <w:rPr/>
            </w:pPr>
            <w:r>
              <w:rPr/>
              <w:t>  </w:t>
            </w:r>
          </w:p>
        </w:tc>
        <w:tc>
          <w:tcPr>
            <w:tcW w:w="4415" w:type="dxa"/>
            <w:tcBorders/>
          </w:tcPr>
          <w:p>
            <w:pPr>
              <w:pStyle w:val="TableContents"/>
              <w:bidi w:val="0"/>
              <w:spacing w:before="0" w:after="283"/>
              <w:jc w:val="left"/>
              <w:rPr/>
            </w:pPr>
            <w:r>
              <w:rPr/>
              <w:t>Director</w:t>
            </w:r>
          </w:p>
        </w:tc>
        <w:tc>
          <w:tcPr>
            <w:tcW w:w="109" w:type="dxa"/>
            <w:tcBorders/>
            <w:vAlign w:val="bottom"/>
          </w:tcPr>
          <w:p>
            <w:pPr>
              <w:pStyle w:val="TableContents"/>
              <w:bidi w:val="0"/>
              <w:spacing w:before="0" w:after="283"/>
              <w:jc w:val="left"/>
              <w:rPr/>
            </w:pPr>
            <w:r>
              <w:rPr/>
              <w:t> </w:t>
            </w:r>
          </w:p>
        </w:tc>
        <w:tc>
          <w:tcPr>
            <w:tcW w:w="1700" w:type="dxa"/>
            <w:tcBorders/>
          </w:tcPr>
          <w:p>
            <w:pPr>
              <w:pStyle w:val="TableContents"/>
              <w:bidi w:val="0"/>
              <w:spacing w:before="0" w:after="283"/>
              <w:jc w:val="left"/>
              <w:rPr/>
            </w:pPr>
            <w:r>
              <w:rPr/>
              <w:t>August 7, 2026</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3" w:name="d367205dex51.htm"/>
      <w:bookmarkStart w:id="4" w:name="ksd367205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07"/>
        <w:gridCol w:w="99"/>
        <w:gridCol w:w="2299"/>
        <w:gridCol w:w="99"/>
        <w:gridCol w:w="1378"/>
        <w:gridCol w:w="99"/>
        <w:gridCol w:w="1924"/>
      </w:tblGrid>
      <w:tr>
        <w:trPr/>
        <w:tc>
          <w:tcPr>
            <w:tcW w:w="4307"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401" w:type="dxa"/>
            <w:gridSpan w:val="3"/>
            <w:tcBorders/>
          </w:tcPr>
          <w:p>
            <w:pPr>
              <w:pStyle w:val="TableContents"/>
              <w:bidi w:val="0"/>
              <w:spacing w:before="0" w:after="283"/>
              <w:jc w:val="left"/>
              <w:rPr/>
            </w:pPr>
            <w:r>
              <w:rPr/>
              <w:t>650 Town Center Drive, 20th Floor</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401" w:type="dxa"/>
            <w:gridSpan w:val="3"/>
            <w:tcBorders/>
          </w:tcPr>
          <w:p>
            <w:pPr>
              <w:pStyle w:val="TableContents"/>
              <w:bidi w:val="0"/>
              <w:spacing w:before="0" w:after="283"/>
              <w:jc w:val="left"/>
              <w:rPr/>
            </w:pPr>
            <w:r>
              <w:rPr/>
              <w:t>Costa Mesa, California 92626-1925</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401" w:type="dxa"/>
            <w:gridSpan w:val="3"/>
            <w:tcBorders/>
          </w:tcPr>
          <w:p>
            <w:pPr>
              <w:pStyle w:val="TableContents"/>
              <w:bidi w:val="0"/>
              <w:spacing w:before="0" w:after="283"/>
              <w:jc w:val="left"/>
              <w:rPr/>
            </w:pPr>
            <w:r>
              <w:rPr/>
              <w:t>Tel: +1.714.540.1235 Fax: +1.714.755.8290</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www.lw.com</w:t>
            </w:r>
          </w:p>
          <w:p>
            <w:pPr>
              <w:pStyle w:val="TableContents"/>
              <w:bidi w:val="0"/>
              <w:spacing w:before="0" w:after="20"/>
              <w:jc w:val="left"/>
              <w:rPr/>
            </w:pPr>
            <w:r>
              <w:rPr/>
              <w:t> </w:t>
            </w:r>
          </w:p>
        </w:tc>
      </w:tr>
      <w:tr>
        <w:trPr>
          <w:trHeight w:val="60" w:hRule="atLeast"/>
        </w:trPr>
        <w:tc>
          <w:tcPr>
            <w:tcW w:w="4307" w:type="dxa"/>
            <w:tcBorders/>
            <w:vAlign w:val="center"/>
          </w:tcPr>
          <w:p>
            <w:pPr>
              <w:pStyle w:val="TableContents"/>
              <w:bidi w:val="0"/>
              <w:spacing w:before="0" w:after="283"/>
              <w:jc w:val="left"/>
              <w:rPr>
                <w:sz w:val="4"/>
                <w:szCs w:val="4"/>
              </w:rPr>
            </w:pPr>
            <w:r>
              <w:rPr>
                <w:sz w:val="4"/>
                <w:szCs w:val="4"/>
              </w:rPr>
            </w:r>
          </w:p>
        </w:tc>
        <w:tc>
          <w:tcPr>
            <w:tcW w:w="2398" w:type="dxa"/>
            <w:gridSpan w:val="2"/>
            <w:tcBorders/>
            <w:vAlign w:val="center"/>
          </w:tcPr>
          <w:p>
            <w:pPr>
              <w:pStyle w:val="TableContents"/>
              <w:bidi w:val="0"/>
              <w:spacing w:before="0" w:after="283"/>
              <w:jc w:val="left"/>
              <w:rPr>
                <w:sz w:val="4"/>
                <w:szCs w:val="4"/>
              </w:rPr>
            </w:pPr>
            <w:r>
              <w:rPr>
                <w:sz w:val="4"/>
                <w:szCs w:val="4"/>
              </w:rPr>
            </w:r>
          </w:p>
        </w:tc>
        <w:tc>
          <w:tcPr>
            <w:tcW w:w="3500" w:type="dxa"/>
            <w:gridSpan w:val="4"/>
            <w:tcBorders/>
            <w:vAlign w:val="center"/>
          </w:tcPr>
          <w:p>
            <w:pPr>
              <w:pStyle w:val="TableContents"/>
              <w:bidi w:val="0"/>
              <w:spacing w:before="0" w:after="283"/>
              <w:jc w:val="left"/>
              <w:rPr>
                <w:sz w:val="4"/>
                <w:szCs w:val="4"/>
              </w:rPr>
            </w:pPr>
            <w:r>
              <w:rPr>
                <w:sz w:val="4"/>
                <w:szCs w:val="4"/>
              </w:rPr>
            </w:r>
          </w:p>
        </w:tc>
      </w:tr>
      <w:tr>
        <w:trPr/>
        <w:tc>
          <w:tcPr>
            <w:tcW w:w="4307" w:type="dxa"/>
            <w:vMerge w:val="restart"/>
            <w:tcBorders/>
          </w:tcPr>
          <w:p>
            <w:pPr>
              <w:pStyle w:val="TableContents"/>
              <w:bidi w:val="0"/>
              <w:spacing w:before="0" w:after="283"/>
              <w:jc w:val="left"/>
              <w:rPr/>
            </w:pPr>
            <w:r>
              <w:rPr/>
              <w:drawing>
                <wp:inline distT="0" distB="0" distL="0" distR="0">
                  <wp:extent cx="27241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5"/>
                          <a:stretch>
                            <a:fillRect/>
                          </a:stretch>
                        </pic:blipFill>
                        <pic:spPr bwMode="auto">
                          <a:xfrm>
                            <a:off x="0" y="0"/>
                            <a:ext cx="2724150" cy="428625"/>
                          </a:xfrm>
                          <a:prstGeom prst="rect">
                            <a:avLst/>
                          </a:prstGeom>
                        </pic:spPr>
                      </pic:pic>
                    </a:graphicData>
                  </a:graphic>
                </wp:inline>
              </w:drawing>
            </w:r>
            <w:r>
              <w:rPr/>
              <w:t xml:space="preserve"> </w:t>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3401" w:type="dxa"/>
            <w:gridSpan w:val="3"/>
            <w:tcBorders/>
            <w:vAlign w:val="bottom"/>
          </w:tcPr>
          <w:p>
            <w:pPr>
              <w:pStyle w:val="TableContents"/>
              <w:bidi w:val="0"/>
              <w:spacing w:before="0" w:after="283"/>
              <w:jc w:val="left"/>
              <w:rPr/>
            </w:pPr>
            <w:r>
              <w:rPr/>
              <w:t>FIRM / AFFILIATE OFFICES</w:t>
            </w:r>
          </w:p>
        </w:tc>
      </w:tr>
      <w:tr>
        <w:trPr/>
        <w:tc>
          <w:tcPr>
            <w:tcW w:w="4307"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Austin</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Milan</w:t>
            </w:r>
          </w:p>
        </w:tc>
      </w:tr>
      <w:tr>
        <w:trPr/>
        <w:tc>
          <w:tcPr>
            <w:tcW w:w="4307"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Beijing</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Munich</w:t>
            </w:r>
          </w:p>
        </w:tc>
      </w:tr>
      <w:tr>
        <w:trPr/>
        <w:tc>
          <w:tcPr>
            <w:tcW w:w="4307"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Boston</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New York</w:t>
            </w:r>
          </w:p>
        </w:tc>
      </w:tr>
      <w:tr>
        <w:trPr/>
        <w:tc>
          <w:tcPr>
            <w:tcW w:w="4307" w:type="dxa"/>
            <w:vMerge w:val="continue"/>
            <w:tcBorders/>
          </w:tcPr>
          <w:p>
            <w:pPr>
              <w:pStyle w:val="Normal"/>
              <w:bidi w:val="0"/>
              <w:jc w:val="left"/>
              <w:rPr/>
            </w:pPr>
            <w:r>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Brussels</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Orange County</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Chicago</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Paris</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Dubai</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Riyadh</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Düsseldorf</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San Diego</w:t>
            </w:r>
          </w:p>
        </w:tc>
      </w:tr>
      <w:tr>
        <w:trPr/>
        <w:tc>
          <w:tcPr>
            <w:tcW w:w="4307" w:type="dxa"/>
            <w:tcBorders/>
          </w:tcPr>
          <w:p>
            <w:pPr>
              <w:pStyle w:val="TableContents"/>
              <w:bidi w:val="0"/>
              <w:spacing w:before="0" w:after="283"/>
              <w:jc w:val="left"/>
              <w:rPr/>
            </w:pPr>
            <w:r>
              <w:rPr/>
              <w:t>August 7, 2026</w:t>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Frankfurt</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San Francisco</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Hamburg</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Seoul</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Hong Kong</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Silicon Valley</w:t>
            </w:r>
          </w:p>
        </w:tc>
      </w:tr>
      <w:tr>
        <w:trPr/>
        <w:tc>
          <w:tcPr>
            <w:tcW w:w="4307"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Houston</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Singapore</w:t>
            </w:r>
          </w:p>
        </w:tc>
      </w:tr>
      <w:tr>
        <w:trPr/>
        <w:tc>
          <w:tcPr>
            <w:tcW w:w="4307" w:type="dxa"/>
            <w:tcBorders/>
          </w:tcPr>
          <w:p>
            <w:pPr>
              <w:pStyle w:val="TableContents"/>
              <w:bidi w:val="0"/>
              <w:spacing w:before="0" w:after="283"/>
              <w:jc w:val="left"/>
              <w:rPr/>
            </w:pPr>
            <w:r>
              <w:rPr/>
              <w:t>Wave Life Sciences, Inc.</w:t>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London</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Tel Aviv</w:t>
            </w:r>
          </w:p>
        </w:tc>
      </w:tr>
      <w:tr>
        <w:trPr/>
        <w:tc>
          <w:tcPr>
            <w:tcW w:w="4307" w:type="dxa"/>
            <w:tcBorders/>
          </w:tcPr>
          <w:p>
            <w:pPr>
              <w:pStyle w:val="TableContents"/>
              <w:bidi w:val="0"/>
              <w:spacing w:before="0" w:after="283"/>
              <w:jc w:val="left"/>
              <w:rPr/>
            </w:pPr>
            <w:r>
              <w:rPr/>
              <w:t>733 Concord Avenue</w:t>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Los Angeles</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Tokyo</w:t>
            </w:r>
          </w:p>
        </w:tc>
      </w:tr>
      <w:tr>
        <w:trPr/>
        <w:tc>
          <w:tcPr>
            <w:tcW w:w="4307" w:type="dxa"/>
            <w:tcBorders/>
          </w:tcPr>
          <w:p>
            <w:pPr>
              <w:pStyle w:val="TableContents"/>
              <w:bidi w:val="0"/>
              <w:spacing w:before="0" w:after="283"/>
              <w:jc w:val="left"/>
              <w:rPr/>
            </w:pPr>
            <w:r>
              <w:rPr/>
              <w:t>Cambridge, MA 02138</w:t>
            </w:r>
          </w:p>
        </w:tc>
        <w:tc>
          <w:tcPr>
            <w:tcW w:w="99" w:type="dxa"/>
            <w:tcBorders/>
            <w:vAlign w:val="bottom"/>
          </w:tcPr>
          <w:p>
            <w:pPr>
              <w:pStyle w:val="TableContents"/>
              <w:bidi w:val="0"/>
              <w:spacing w:before="0" w:after="283"/>
              <w:jc w:val="left"/>
              <w:rPr/>
            </w:pPr>
            <w:r>
              <w:rPr/>
              <w:t> </w:t>
            </w:r>
          </w:p>
        </w:tc>
        <w:tc>
          <w:tcPr>
            <w:tcW w:w="2299" w:type="dxa"/>
            <w:tcBorders/>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378" w:type="dxa"/>
            <w:tcBorders/>
          </w:tcPr>
          <w:p>
            <w:pPr>
              <w:pStyle w:val="TableContents"/>
              <w:bidi w:val="0"/>
              <w:spacing w:before="0" w:after="283"/>
              <w:jc w:val="left"/>
              <w:rPr/>
            </w:pPr>
            <w:r>
              <w:rPr/>
              <w:t>Madrid</w:t>
            </w:r>
          </w:p>
        </w:tc>
        <w:tc>
          <w:tcPr>
            <w:tcW w:w="99" w:type="dxa"/>
            <w:tcBorders/>
            <w:vAlign w:val="bottom"/>
          </w:tcPr>
          <w:p>
            <w:pPr>
              <w:pStyle w:val="TableContents"/>
              <w:bidi w:val="0"/>
              <w:spacing w:before="0" w:after="283"/>
              <w:jc w:val="left"/>
              <w:rPr/>
            </w:pPr>
            <w:r>
              <w:rPr/>
              <w:t> </w:t>
            </w:r>
          </w:p>
        </w:tc>
        <w:tc>
          <w:tcPr>
            <w:tcW w:w="1924" w:type="dxa"/>
            <w:tcBorders/>
          </w:tcPr>
          <w:p>
            <w:pPr>
              <w:pStyle w:val="TableContents"/>
              <w:bidi w:val="0"/>
              <w:spacing w:before="0" w:after="283"/>
              <w:jc w:val="left"/>
              <w:rPr/>
            </w:pPr>
            <w:r>
              <w:rPr/>
              <w:t>Washington, D.C.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Wave Life Sciences, Inc. Post-Effective Amendment No. 1 to Registration Statements on Form S-8</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240" w:after="0"/>
        <w:jc w:val="left"/>
        <w:rPr>
          <w:rFonts w:ascii="Times New Roman" w:hAnsi="Times New Roman"/>
          <w:sz w:val="20"/>
        </w:rPr>
      </w:pPr>
      <w:r>
        <w:rPr>
          <w:rFonts w:ascii="Times New Roman" w:hAnsi="Times New Roman"/>
          <w:sz w:val="20"/>
        </w:rPr>
        <w:t>We have acted as special counsel to Wave Life Sciences, Inc., a Delaware corporation (the “</w:t>
      </w:r>
      <w:r>
        <w:rPr>
          <w:rFonts w:ascii="Times New Roman" w:hAnsi="Times New Roman"/>
          <w:b/>
          <w:i/>
          <w:sz w:val="20"/>
        </w:rPr>
        <w:t>Company</w:t>
      </w:r>
      <w:r>
        <w:rPr>
          <w:rFonts w:ascii="Times New Roman" w:hAnsi="Times New Roman"/>
          <w:sz w:val="20"/>
        </w:rPr>
        <w:t>”), in connection with its filing on the date hereof with the Securities and Exchange Commission (the “</w:t>
      </w:r>
      <w:r>
        <w:rPr>
          <w:rFonts w:ascii="Times New Roman" w:hAnsi="Times New Roman"/>
          <w:b/>
          <w:i/>
          <w:sz w:val="20"/>
        </w:rPr>
        <w:t>Commission</w:t>
      </w:r>
      <w:r>
        <w:rPr>
          <w:rFonts w:ascii="Times New Roman" w:hAnsi="Times New Roman"/>
          <w:sz w:val="20"/>
        </w:rPr>
        <w:t>”) of Post-Effective Amendment No. 1 (the “</w:t>
      </w:r>
      <w:r>
        <w:rPr>
          <w:rFonts w:ascii="Times New Roman" w:hAnsi="Times New Roman"/>
          <w:b/>
          <w:i/>
          <w:sz w:val="20"/>
        </w:rPr>
        <w:t>Amendment</w:t>
      </w:r>
      <w:r>
        <w:rPr>
          <w:rFonts w:ascii="Times New Roman" w:hAnsi="Times New Roman"/>
          <w:sz w:val="20"/>
        </w:rPr>
        <w:t>”) to sixteen registration statements on Form S-8 (Registration Nos. 333-208598; 333-221480; 333-228308; 333-233054; 333-234519; 333-243491; 333-243515; 333-259196; 333-260948; 333-268286; 333-275420; 333-275421; 333-283123; 333-283125; 333-291408; and 333-291409) previously filed by Wave Life Sciences, Ltd., a public company limited by shares incorporated under the laws of the Republic of Singapore and the Company’s predecessor, with respect to the adoption of such registration statements by the Company pursuant to Rule 414 under the Securities Act of 1933, as amended (the “</w:t>
      </w:r>
      <w:r>
        <w:rPr>
          <w:rFonts w:ascii="Times New Roman" w:hAnsi="Times New Roman"/>
          <w:b/>
          <w:i/>
          <w:sz w:val="20"/>
        </w:rPr>
        <w:t>Act</w:t>
      </w:r>
      <w:r>
        <w:rPr>
          <w:rFonts w:ascii="Times New Roman" w:hAnsi="Times New Roman"/>
          <w:sz w:val="20"/>
        </w:rPr>
        <w:t>”). Such registration statements on Form S-8, as amended by the Amendment, are referred to herein as the “</w:t>
      </w:r>
      <w:r>
        <w:rPr>
          <w:rFonts w:ascii="Times New Roman" w:hAnsi="Times New Roman"/>
          <w:b/>
          <w:i/>
          <w:sz w:val="20"/>
        </w:rPr>
        <w:t>Registration Statements</w:t>
      </w:r>
      <w:r>
        <w:rPr>
          <w:rFonts w:ascii="Times New Roman" w:hAnsi="Times New Roman"/>
          <w:sz w:val="20"/>
        </w:rPr>
        <w:t>.” In connection with such representation, the Company has advised us that shares (“</w:t>
      </w:r>
      <w:r>
        <w:rPr>
          <w:rFonts w:ascii="Times New Roman" w:hAnsi="Times New Roman"/>
          <w:b/>
          <w:i/>
          <w:sz w:val="20"/>
        </w:rPr>
        <w:t>Shares</w:t>
      </w:r>
      <w:r>
        <w:rPr>
          <w:rFonts w:ascii="Times New Roman" w:hAnsi="Times New Roman"/>
          <w:sz w:val="20"/>
        </w:rPr>
        <w:t>”) of common stock, par value $0.001 per share, of the Company may be issuable or become issuable pursuant to grants or awards under the employee plans (the “</w:t>
      </w:r>
      <w:r>
        <w:rPr>
          <w:rFonts w:ascii="Times New Roman" w:hAnsi="Times New Roman"/>
          <w:b/>
          <w:i/>
          <w:sz w:val="20"/>
        </w:rPr>
        <w:t>Plans</w:t>
      </w:r>
      <w:r>
        <w:rPr>
          <w:rFonts w:ascii="Times New Roman" w:hAnsi="Times New Roman"/>
          <w:sz w:val="20"/>
        </w:rPr>
        <w:t xml:space="preserve">”) set forth on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Statements, other than as expressly stated herein with respect to the issue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7,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10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6"/>
                    <a:stretch>
                      <a:fillRect/>
                    </a:stretch>
                  </pic:blipFill>
                  <pic:spPr bwMode="auto">
                    <a:xfrm>
                      <a:off x="0" y="0"/>
                      <a:ext cx="1562100" cy="104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Amendment and may be relied upon by you and by persons entitled to rely upon it pursuant to the applicable provisions of the Act. We consent to your filing this opinion as an exhibit to the Amendment.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7,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104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7"/>
                    <a:stretch>
                      <a:fillRect/>
                    </a:stretch>
                  </pic:blipFill>
                  <pic:spPr bwMode="auto">
                    <a:xfrm>
                      <a:off x="0" y="0"/>
                      <a:ext cx="1562100" cy="1047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Plans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2014 Equity Incentive Plan, as amended.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Inc. Amended and Restated 2021 Equity Incentive Plan, effective as of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2021 Equity Plan, as amended, effective August 5,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Amended and Restated Wave Life Sciences Inc. 2019 Employee Stock Purchase Plan, effective as of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10"/>
        <w:gridCol w:w="9291"/>
      </w:tblGrid>
      <w:tr>
        <w:trPr/>
        <w:tc>
          <w:tcPr>
            <w:tcW w:w="40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Wave Life Sciences Ltd. 2019 Employee Share Purchase Plan, as amended, effective as of August 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Stock Option Agreement under the Amended and Restated 2021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Share Option Agreement under the 2014 Equity Plan, effective as of September 20,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Share Option Agreement under the 2014 Equity Plan, effective as of January 1,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Share Option Agreement under the 2021 Equity Plan, effective as August 10,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Incentive Share Option Agreement under the 2014 Equity Plan, effective as of December 2014.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Incentive Share Option Agreement under the 2014 Equity Plan, effective as of September 20,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Stock Unit Agreement under the Amended and Restated 2021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Share Unit Agreement under the 2014 Equity Plan, effective as of June 16,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Share Unit Agreement under the 2014 Equity Plan, effective as of January 1,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Share Unit Agreement under the 2014 Equity Incentive Plan, effective as of January 1,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Share Unit Agreement under the 2021 Equity Plan, effective as of August 10,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Amended and Restated 2019 Performance-Based Restricted Share Unit Agreement under the 2014 Equity Incentive Plan, effective as of March 17,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2021 Performance-Based Restricted Share Unit Agreement under the 2014 Equity Incentive Plan, effective as of March 17,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Stock Option Agreement for UK Participants under the Amended and Restated 2021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20.</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Stock Unit Agreement for UK Participants under the Amended and Restated 2021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Share Option Agreement for UK Participants under the 2014 Equity Plan, effective as of June 21,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Share Option Agreement for UK Participants under the 2014 Equity Plan, effective as of January 1,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Non-qualified Share Option Agreement for UK Participants under the 2021 Equity Plan, effective as of August 10, 2021.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7, 2026 </w:t>
      </w:r>
    </w:p>
    <w:p>
      <w:pPr>
        <w:pStyle w:val="TextBody"/>
        <w:bidi w:val="0"/>
        <w:spacing w:before="0" w:after="0"/>
        <w:jc w:val="left"/>
        <w:rPr>
          <w:rFonts w:ascii="Times New Roman" w:hAnsi="Times New Roman"/>
          <w:b/>
          <w:sz w:val="20"/>
        </w:rPr>
      </w:pPr>
      <w:r>
        <w:rPr>
          <w:rFonts w:ascii="Times New Roman" w:hAnsi="Times New Roman"/>
          <w:b/>
          <w:sz w:val="20"/>
        </w:rPr>
        <w:t xml:space="preserve">Page 4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104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8"/>
                    <a:stretch>
                      <a:fillRect/>
                    </a:stretch>
                  </pic:blipFill>
                  <pic:spPr bwMode="auto">
                    <a:xfrm>
                      <a:off x="0" y="0"/>
                      <a:ext cx="1562100" cy="1047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24.</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Restricted Share Unit Agreement for UK Participants under the 2021 Equity Plan, effective as of August 10,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25.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the Wave Life Sciences, Inc. NASDAQ Inducement Restricted Stock Unit Award Grant Notice and NASDAQ Inducement Restricted Stock Unit Agreement, effective as of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to the Wave Life Sciences, Inc. NASDAQ Inducement Nonqualified Stock Option Grant Notice and NASDAQ Inducement Non-qualified Stock Option Agreement, effective as of August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Inducement Non-qualified Share Option Agreement, effective May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28.</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Form of Inducement Restricted Share Unit Agreement, effective May 2024. </w:t>
            </w:r>
          </w:p>
        </w:tc>
      </w:tr>
    </w:tbl>
    <w:p>
      <w:pPr>
        <w:pStyle w:val="TextBody"/>
        <w:bidi w:val="0"/>
        <w:spacing w:before="0" w:after="0"/>
        <w:jc w:val="right"/>
        <w:rPr>
          <w:rFonts w:ascii="Times New Roman" w:hAnsi="Times New Roman"/>
          <w:b/>
          <w:sz w:val="20"/>
        </w:rPr>
      </w:pPr>
      <w:bookmarkStart w:id="5" w:name="d367205dex232.htm"/>
      <w:bookmarkStart w:id="6" w:name="ksd367205dex232"/>
      <w:bookmarkEnd w:id="5"/>
      <w:bookmarkEnd w:id="6"/>
      <w:r>
        <w:rPr>
          <w:rFonts w:ascii="Times New Roman" w:hAnsi="Times New Roman"/>
          <w:b/>
          <w:sz w:val="20"/>
        </w:rPr>
        <w:t xml:space="preserve">Exhibit 23.2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26, 2026, with respect to the consolidated financial statements of Wave Life Sciences Ltd., and the effectiveness of internal control over financial reporting, incorporated herein by reference.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August 7, 2026</w:t>
            </w:r>
          </w:p>
        </w:tc>
      </w:tr>
    </w:tbl>
    <w:p>
      <w:pPr>
        <w:pStyle w:val="TextBody"/>
        <w:bidi w:val="0"/>
        <w:spacing w:before="0" w:after="0"/>
        <w:jc w:val="right"/>
        <w:rPr>
          <w:rFonts w:ascii="Times New Roman" w:hAnsi="Times New Roman"/>
          <w:b/>
          <w:sz w:val="20"/>
        </w:rPr>
      </w:pPr>
      <w:bookmarkStart w:id="7" w:name="d367205dex9941.htm"/>
      <w:bookmarkStart w:id="8" w:name="ksd367205dex9941"/>
      <w:bookmarkEnd w:id="7"/>
      <w:bookmarkEnd w:id="8"/>
      <w:r>
        <w:rPr>
          <w:rFonts w:ascii="Times New Roman" w:hAnsi="Times New Roman"/>
          <w:b/>
          <w:sz w:val="20"/>
        </w:rPr>
        <w:t xml:space="preserve">Exhibit 99.4.1 </w:t>
      </w:r>
      <w:r>
        <w:br w:type="page"/>
      </w:r>
    </w:p>
    <w:p>
      <w:pPr>
        <w:pStyle w:val="TextBody"/>
        <w:bidi w:val="0"/>
        <w:spacing w:before="240" w:after="0"/>
        <w:jc w:val="right"/>
        <w:rPr>
          <w:rFonts w:ascii="Times New Roman" w:hAnsi="Times New Roman"/>
          <w:b/>
          <w:sz w:val="20"/>
        </w:rPr>
      </w:pPr>
      <w:r>
        <w:rPr>
          <w:rFonts w:ascii="Times New Roman" w:hAnsi="Times New Roman"/>
          <w:b/>
          <w:sz w:val="20"/>
          <w:u w:val="single"/>
        </w:rPr>
        <w:t>Grant No.  </w:t>
      </w:r>
      <w:r>
        <w:rPr>
          <w:rFonts w:ascii="Times New Roman" w:hAnsi="Times New Roman"/>
          <w:b/>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2021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Non-qualified 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Company’s Non-qualified Stock Option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
        <w:gridCol w:w="129"/>
        <w:gridCol w:w="3625"/>
        <w:gridCol w:w="129"/>
        <w:gridCol w:w="6059"/>
      </w:tblGrid>
      <w:tr>
        <w:trPr/>
        <w:tc>
          <w:tcPr>
            <w:tcW w:w="26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59" w:type="dxa"/>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A.</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of Participant:</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c>
          <w:tcPr>
            <w:tcW w:w="618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B.</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Grant Date:</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c>
          <w:tcPr>
            <w:tcW w:w="618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C.</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Expiration Date:</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10-year anniversary of the Grant Date</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c>
          <w:tcPr>
            <w:tcW w:w="618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D.</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Maximum Number of Common Shares for which this Option is exercisable:</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bidi w:val="0"/>
              <w:spacing w:before="0" w:after="0"/>
              <w:jc w:val="left"/>
              <w:rPr/>
            </w:pPr>
            <w:r>
              <w:rPr/>
              <w:t> </w:t>
            </w:r>
          </w:p>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c>
          <w:tcPr>
            <w:tcW w:w="618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E.</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Exercise (purchase) Price per Common Share:</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c>
          <w:tcPr>
            <w:tcW w:w="618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F.</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Vesting Start Date:</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754" w:type="dxa"/>
            <w:gridSpan w:val="2"/>
            <w:tcBorders/>
            <w:vAlign w:val="center"/>
          </w:tcPr>
          <w:p>
            <w:pPr>
              <w:pStyle w:val="TableContents"/>
              <w:bidi w:val="0"/>
              <w:spacing w:before="0" w:after="283"/>
              <w:jc w:val="left"/>
              <w:rPr>
                <w:sz w:val="4"/>
                <w:szCs w:val="4"/>
              </w:rPr>
            </w:pPr>
            <w:r>
              <w:rPr>
                <w:sz w:val="4"/>
                <w:szCs w:val="4"/>
              </w:rPr>
            </w:r>
          </w:p>
        </w:tc>
        <w:tc>
          <w:tcPr>
            <w:tcW w:w="618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G.</w:t>
            </w:r>
          </w:p>
        </w:tc>
        <w:tc>
          <w:tcPr>
            <w:tcW w:w="129"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Vesting Schedule:</w:t>
            </w:r>
          </w:p>
        </w:tc>
        <w:tc>
          <w:tcPr>
            <w:tcW w:w="129" w:type="dxa"/>
            <w:tcBorders/>
            <w:vAlign w:val="bottom"/>
          </w:tcPr>
          <w:p>
            <w:pPr>
              <w:pStyle w:val="TableContents"/>
              <w:bidi w:val="0"/>
              <w:spacing w:before="0" w:after="283"/>
              <w:jc w:val="left"/>
              <w:rPr/>
            </w:pPr>
            <w:r>
              <w:rPr/>
              <w:t>  </w:t>
            </w:r>
          </w:p>
        </w:tc>
        <w:tc>
          <w:tcPr>
            <w:tcW w:w="6059"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Option shall become vested and exercisable with respect to the number of Common Shares set forth below provided that at all times the Participant is providing Continuous Service: </w:t>
      </w:r>
    </w:p>
    <w:p>
      <w:pPr>
        <w:pStyle w:val="TextBody"/>
        <w:bidi w:val="0"/>
        <w:spacing w:before="240" w:after="0"/>
        <w:jc w:val="left"/>
        <w:rPr>
          <w:rFonts w:ascii="Times New Roman" w:hAnsi="Times New Roman"/>
          <w:sz w:val="20"/>
        </w:rPr>
      </w:pPr>
      <w:r>
        <w:rPr>
          <w:rFonts w:ascii="Times New Roman" w:hAnsi="Times New Roman"/>
          <w:sz w:val="20"/>
        </w:rPr>
        <w:t xml:space="preserve">[__]. </w:t>
      </w:r>
    </w:p>
    <w:p>
      <w:pPr>
        <w:pStyle w:val="TextBody"/>
        <w:bidi w:val="0"/>
        <w:spacing w:before="240" w:after="0"/>
        <w:jc w:val="left"/>
        <w:rPr>
          <w:rFonts w:ascii="Times New Roman" w:hAnsi="Times New Roman"/>
          <w:sz w:val="20"/>
        </w:rPr>
      </w:pPr>
      <w:r>
        <w:rPr>
          <w:rFonts w:ascii="Times New Roman" w:hAnsi="Times New Roman"/>
          <w:sz w:val="20"/>
        </w:rPr>
        <w:t xml:space="preserve">[__].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Participant acknowledge receipt of this Non-qualified Stock Option Grant Notice and agree to the terms of the Non-qualified Stock Option Agreement attached hereto and incorporated by reference herein, the Company’s Amended and Restated 2021 Equity Incentive Plan and the terms of this Option Grant as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24"/>
        <w:gridCol w:w="132"/>
        <w:gridCol w:w="3026"/>
      </w:tblGrid>
      <w:tr>
        <w:trPr/>
        <w:tc>
          <w:tcPr>
            <w:tcW w:w="9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Wave Life Sciences, Inc.</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Participant</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NON-QUALIFIED STOCK OPTION AGREEMENT –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INCORPORATED TERMS AND CONDITIONS </w:t>
      </w:r>
    </w:p>
    <w:p>
      <w:pPr>
        <w:pStyle w:val="TextBody"/>
        <w:bidi w:val="0"/>
        <w:spacing w:before="240" w:after="0"/>
        <w:jc w:val="left"/>
        <w:rPr>
          <w:rFonts w:ascii="Times New Roman" w:hAnsi="Times New Roman"/>
          <w:sz w:val="20"/>
        </w:rPr>
      </w:pPr>
      <w:r>
        <w:rPr>
          <w:rFonts w:ascii="Times New Roman" w:hAnsi="Times New Roman"/>
          <w:sz w:val="20"/>
        </w:rPr>
        <w:t>This Non-qualified Stock Option Agreement (this “</w:t>
      </w:r>
      <w:r>
        <w:rPr>
          <w:rFonts w:ascii="Times New Roman" w:hAnsi="Times New Roman"/>
          <w:sz w:val="20"/>
          <w:u w:val="single"/>
        </w:rPr>
        <w:t>Agreement</w:t>
      </w:r>
      <w:r>
        <w:rPr>
          <w:rFonts w:ascii="Times New Roman" w:hAnsi="Times New Roman"/>
          <w:sz w:val="20"/>
        </w:rPr>
        <w:t>”) is made and entered into as of the Grant Date by and between Wave Life Sciences, Inc., a company incorporated in Delaware (the “</w:t>
      </w:r>
      <w:r>
        <w:rPr>
          <w:rFonts w:ascii="Times New Roman" w:hAnsi="Times New Roman"/>
          <w:sz w:val="20"/>
          <w:u w:val="single"/>
        </w:rPr>
        <w:t>Company</w:t>
      </w:r>
      <w:r>
        <w:rPr>
          <w:rFonts w:ascii="Times New Roman" w:hAnsi="Times New Roman"/>
          <w:sz w:val="20"/>
        </w:rPr>
        <w:t>”), and the “</w:t>
      </w:r>
      <w:r>
        <w:rPr>
          <w:rFonts w:ascii="Times New Roman" w:hAnsi="Times New Roman"/>
          <w:sz w:val="20"/>
          <w:u w:val="single"/>
        </w:rPr>
        <w:t>Participant</w:t>
      </w:r>
      <w:r>
        <w:rPr>
          <w:rFonts w:ascii="Times New Roman" w:hAnsi="Times New Roman"/>
          <w:sz w:val="20"/>
        </w:rPr>
        <w:t xml:space="preserve">” whose name appears on the Non-qualified Stock Option Grant Notice.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 of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Grant; Type of Option</w:t>
      </w:r>
      <w:r>
        <w:rPr>
          <w:rFonts w:ascii="Times New Roman" w:hAnsi="Times New Roman"/>
          <w:sz w:val="20"/>
        </w:rPr>
        <w:t>. The Company hereby grants to the Participant an option (the “</w:t>
      </w:r>
      <w:r>
        <w:rPr>
          <w:rFonts w:ascii="Times New Roman" w:hAnsi="Times New Roman"/>
          <w:sz w:val="20"/>
          <w:u w:val="single"/>
        </w:rPr>
        <w:t>Option</w:t>
      </w:r>
      <w:r>
        <w:rPr>
          <w:rFonts w:ascii="Times New Roman" w:hAnsi="Times New Roman"/>
          <w:sz w:val="20"/>
        </w:rPr>
        <w:t>”) to purchase (subscribe for) the total number of Common Shares of the Company equal to the number of Common Shares set forth on the Non-qualified Stock Option Grant Notice, at the Exercise Price per Common Share set forth on the Non-qualified Stock Option Grant Notice. The Option is being granted pursuant to the terms of the Wave Life Sciences, Inc. Amended and Restated Equity 2021 Incentive Plan (the “</w:t>
      </w:r>
      <w:r>
        <w:rPr>
          <w:rFonts w:ascii="Times New Roman" w:hAnsi="Times New Roman"/>
          <w:sz w:val="20"/>
          <w:u w:val="single"/>
        </w:rPr>
        <w:t>Plan</w:t>
      </w:r>
      <w:r>
        <w:rPr>
          <w:rFonts w:ascii="Times New Roman" w:hAnsi="Times New Roman"/>
          <w:sz w:val="20"/>
        </w:rPr>
        <w:t xml:space="preserve">”). The Option is intended to be a Non-qualified Stock Option and not an Incentive Stock Option.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Consideration; Subject to Plan</w:t>
      </w:r>
      <w:r>
        <w:rPr>
          <w:rFonts w:ascii="Times New Roman" w:hAnsi="Times New Roman"/>
          <w:sz w:val="20"/>
        </w:rPr>
        <w:t xml:space="preserve">. The grant of the Option is made in consideration of the services to be rendered by the Participant to the Company and is subject to the terms and conditions of the Plan. Capitalized terms used but not defined herein will have the meaning ascribed to them in the Plan.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 Period; Vesting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Vesting Schedule</w:t>
      </w:r>
      <w:r>
        <w:rPr>
          <w:rFonts w:ascii="Times New Roman" w:hAnsi="Times New Roman"/>
          <w:sz w:val="20"/>
        </w:rPr>
        <w:t xml:space="preserve">. The Option will become vested and exercisable as set forth on the Non-Stock Option Grant Notice.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Unvested Option</w:t>
      </w:r>
      <w:r>
        <w:rPr>
          <w:rFonts w:ascii="Times New Roman" w:hAnsi="Times New Roman"/>
          <w:sz w:val="20"/>
        </w:rPr>
        <w:t xml:space="preserve">. The unvested portion of the Option will not be exercisable on or after the Participant’s termination of Continuous Service.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Expiration</w:t>
      </w:r>
      <w:r>
        <w:rPr>
          <w:rFonts w:ascii="Times New Roman" w:hAnsi="Times New Roman"/>
          <w:sz w:val="20"/>
        </w:rPr>
        <w:t xml:space="preserve">. The Option will expire on the Expiration Date set forth on the Non-qualified Stock Option Grant Notice, or earlier as provided in this Agreement or the Plan.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Continuous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Termination for Reasons Other Than Cause, Death, Disability</w:t>
      </w:r>
      <w:r>
        <w:rPr>
          <w:rFonts w:ascii="Times New Roman" w:hAnsi="Times New Roman"/>
          <w:sz w:val="20"/>
        </w:rPr>
        <w:t xml:space="preserve">. If the Participant’s Continuous Service is terminated for any reason other than Cause, death or Disability, the Participant may exercise the vested portion of the Option, but only within such period of time ending on the earlier of: (a) the date three months following the termination of the Participant’s Continuous Service; or (b)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Termination for Cause</w:t>
      </w:r>
      <w:r>
        <w:rPr>
          <w:rFonts w:ascii="Times New Roman" w:hAnsi="Times New Roman"/>
          <w:sz w:val="20"/>
        </w:rPr>
        <w:t xml:space="preserve">. If the Participant’s Continuous Service is terminated for Cause, the Option (whether vested or unvested) shall immediately terminate and cease to be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Termination Due to Disability</w:t>
      </w:r>
      <w:r>
        <w:rPr>
          <w:rFonts w:ascii="Times New Roman" w:hAnsi="Times New Roman"/>
          <w:sz w:val="20"/>
        </w:rPr>
        <w:t xml:space="preserve">.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Termination Due to Death</w:t>
      </w:r>
      <w:r>
        <w:rPr>
          <w:rFonts w:ascii="Times New Roman" w:hAnsi="Times New Roman"/>
          <w:sz w:val="20"/>
        </w:rPr>
        <w:t xml:space="preserve">. If the Participant’s Continuous Service terminates as a result of the Participant’s death, or the Participant dies within a period following termination of the Participant’s Continuous Service during which the vested portion of the Option remains exercisable,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termination of Continuous Service; or (b)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Election to Exercise</w:t>
      </w:r>
      <w:r>
        <w:rPr>
          <w:rFonts w:ascii="Times New Roman" w:hAnsi="Times New Roman"/>
          <w:sz w:val="20"/>
        </w:rPr>
        <w:t xml:space="preserve">. To exercise the Option, the Participant (or in the case of exercise after the Participant’s death or incapacity, the Participant’s executor, administrator, heir or legatee, as the case may be) must deliver to the Company a notice of intent to exercise in the manner designated by the Board or the Committee. If someone other than the Participant exercises the Option, then such person must submit documentation reasonably acceptable to the Company verifying that such person has the legal right to exercise the Option.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Payment of Exercise Price</w:t>
      </w:r>
      <w:r>
        <w:rPr>
          <w:rFonts w:ascii="Times New Roman" w:hAnsi="Times New Roman"/>
          <w:sz w:val="20"/>
        </w:rPr>
        <w:t xml:space="preserve">. The entire Exercise Price of the Option shall be payable in full at the time of exercise in any form of legal consideration allowed pursuant to Section 6.4 of the Plan.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Withholding</w:t>
      </w:r>
      <w:r>
        <w:rPr>
          <w:rFonts w:ascii="Times New Roman" w:hAnsi="Times New Roman"/>
          <w:sz w:val="20"/>
        </w:rPr>
        <w:t xml:space="preserve">. Prior to the issuance of stock upon the exercise of the Option, the Participant must make arrangements satisfactory to the Company to pay or provide for any applicable foreign, federal, state and local withholding obligations of the Company. The Participant may satisfy any foreign, federal, state or local tax withholding obligation relating to the exercise of the Option by any of the following means: </w:t>
      </w:r>
    </w:p>
    <w:p>
      <w:pPr>
        <w:pStyle w:val="TextBody"/>
        <w:bidi w:val="0"/>
        <w:spacing w:before="120" w:after="0"/>
        <w:jc w:val="left"/>
        <w:rPr>
          <w:rFonts w:ascii="Times New Roman" w:hAnsi="Times New Roman"/>
          <w:sz w:val="20"/>
        </w:rPr>
      </w:pPr>
      <w:r>
        <w:rPr>
          <w:rFonts w:ascii="Times New Roman" w:hAnsi="Times New Roman"/>
          <w:sz w:val="20"/>
        </w:rPr>
        <w:t xml:space="preserve">(a) tendering a cash payment; or </w:t>
      </w:r>
    </w:p>
    <w:p>
      <w:pPr>
        <w:pStyle w:val="TextBody"/>
        <w:bidi w:val="0"/>
        <w:spacing w:before="120" w:after="0"/>
        <w:jc w:val="left"/>
        <w:rPr>
          <w:rFonts w:ascii="Times New Roman" w:hAnsi="Times New Roman"/>
          <w:sz w:val="20"/>
        </w:rPr>
      </w:pPr>
      <w:r>
        <w:rPr>
          <w:rFonts w:ascii="Times New Roman" w:hAnsi="Times New Roman"/>
          <w:sz w:val="20"/>
        </w:rPr>
        <w:t xml:space="preserve">(b) authorizing the Company to withhold Common Shares from the Common Shares otherwise issuable to the Participant as a result of the exercise of the Option; </w:t>
      </w:r>
      <w:r>
        <w:rPr>
          <w:rFonts w:ascii="Times New Roman" w:hAnsi="Times New Roman"/>
          <w:i/>
          <w:sz w:val="20"/>
        </w:rPr>
        <w:t>provided, however</w:t>
      </w:r>
      <w:r>
        <w:rPr>
          <w:rFonts w:ascii="Times New Roman" w:hAnsi="Times New Roman"/>
          <w:sz w:val="20"/>
        </w:rPr>
        <w:t xml:space="preserve">, that no Common Shares are withheld with a value exceeding the maximum amount of tax required to be withheld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right to withhold from any compensation paid to a Participant.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Issuance of Stock</w:t>
      </w:r>
      <w:r>
        <w:rPr>
          <w:rFonts w:ascii="Times New Roman" w:hAnsi="Times New Roman"/>
          <w:sz w:val="20"/>
        </w:rPr>
        <w:t xml:space="preserve">. Provided that the exercise notice and payment are in compliance with the Plan and in form and substance satisfactory to the Company, the Company shall issue the Common Shares registered in the name of the Participant, the Participant’s authorized assignee, or the Participant’s legal representative, which shall be evidenced by stock certificates representing the stock with the appropriate legends affixed thereto, appropriate entry on the books of the Company or of a duly authorized transfer agent, or other appropriate means as determined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Right to Continued Employment; No Rights as Stockholder</w:t>
      </w:r>
      <w:r>
        <w:rPr>
          <w:rFonts w:ascii="Times New Roman" w:hAnsi="Times New Roman"/>
          <w:sz w:val="20"/>
        </w:rPr>
        <w:t xml:space="preserve">. Neither the Plan nor this Agreement shall confer upon the Participant any right to be retained in any position, as an Employee, Consultant or Director of the Company or its Affiliates. Further, nothing in the Plan or this Agreement shall be construed to limit the discretion of the Company to terminate the Participant’s Continuous Service at any time, with or without Cause. The Participant shall not have any rights as a stockholder with respect to any Common Shares subject to the Option prior to the date of exercise of the Option.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Transferability</w:t>
      </w:r>
      <w:r>
        <w:rPr>
          <w:rFonts w:ascii="Times New Roman" w:hAnsi="Times New Roman"/>
          <w:sz w:val="20"/>
        </w:rPr>
        <w:t xml:space="preserve">. The Option is not transferable by the Participant other than to a designated beneficiary upon the Participant’s death or by will or the laws of descent and distribution or pursuant to a qualified domestic relations order as defined by Applicable Laws, and otherwise shall be exercisable during the Participant’s lifetime only by him or her unless the Board allows transfer to a Permitted Transferee.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Corporate Transactions and Adjustments</w:t>
      </w:r>
      <w:r>
        <w:rPr>
          <w:rFonts w:ascii="Times New Roman" w:hAnsi="Times New Roman"/>
          <w:sz w:val="20"/>
        </w:rPr>
        <w:t xml:space="preserve">. The Common Shares subject to the Option may be adjusted or terminated in any manner as contemplated by Sections 11 and 12 of the Plan.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Tax Liability and Withholding</w:t>
      </w:r>
      <w:r>
        <w:rPr>
          <w:rFonts w:ascii="Times New Roman" w:hAnsi="Times New Roman"/>
          <w:sz w:val="20"/>
        </w:rPr>
        <w:t>. Notwithstanding any action the Company takes with respect to any or all income tax, social insurance, payroll tax, or other tax-related withholding (“</w:t>
      </w:r>
      <w:r>
        <w:rPr>
          <w:rFonts w:ascii="Times New Roman" w:hAnsi="Times New Roman"/>
          <w:sz w:val="20"/>
          <w:u w:val="single"/>
        </w:rPr>
        <w:t>Tax-Related Items</w:t>
      </w:r>
      <w:r>
        <w:rPr>
          <w:rFonts w:ascii="Times New Roman" w:hAnsi="Times New Roman"/>
          <w:sz w:val="20"/>
        </w:rPr>
        <w:t xml:space="preserve">”),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stock acquired on exercise; and (b) does not commit to structure the Option to reduce or eliminate the Participant’s liability for Tax-Related Items.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Compliance with Law</w:t>
      </w:r>
      <w:r>
        <w:rPr>
          <w:rFonts w:ascii="Times New Roman" w:hAnsi="Times New Roman"/>
          <w:sz w:val="20"/>
        </w:rPr>
        <w:t xml:space="preserve">. The exercise of the Option and the issuance and transfer of Common Shares shall be subject to compliance by the Company and the Participant with all Applicable Laws. No Common Shares shall be issued pursuant to this Option unless and until any then Applicable Laws have been fully complied with to the satisfaction of the Company and its counsel. The Participant understands that the Company is under no obligation to register the Common Shares with the U.S. Securities and Exchange Commission, any state securities commission or any stock exchange or under any other Applicable Laws to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w:t>
      </w:r>
      <w:r>
        <w:rPr>
          <w:rFonts w:ascii="Times New Roman" w:hAnsi="Times New Roman"/>
          <w:sz w:val="20"/>
        </w:rPr>
        <w:t xml:space="preserve">. This Agreement will be construed and interpreted in accordance with the laws of the State of Delaware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Interpretation</w:t>
      </w:r>
      <w:r>
        <w:rPr>
          <w:rFonts w:ascii="Times New Roman" w:hAnsi="Times New Roman"/>
          <w:sz w:val="20"/>
        </w:rPr>
        <w:t xml:space="preserve">. Any dispute regarding the interpretation of this Agreement shall be submitted by the Participant or the Company to the Committee for review. The resolution of such dispute by the Committee shall be final and binding on the Participant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Options Subject to Plan</w:t>
      </w:r>
      <w:r>
        <w:rPr>
          <w:rFonts w:ascii="Times New Roman" w:hAnsi="Times New Roman"/>
          <w:sz w:val="20"/>
        </w:rPr>
        <w:t xml:space="preserve">.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this Agreement may be transferred by will or the laws of descent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Discretionary Nature of Plan</w:t>
      </w:r>
      <w:r>
        <w:rPr>
          <w:rFonts w:ascii="Times New Roman" w:hAnsi="Times New Roman"/>
          <w:sz w:val="20"/>
        </w:rPr>
        <w:t xml:space="preserve">.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Amendment</w:t>
      </w:r>
      <w:r>
        <w:rPr>
          <w:rFonts w:ascii="Times New Roman" w:hAnsi="Times New Roman"/>
          <w:sz w:val="20"/>
        </w:rPr>
        <w:t xml:space="preserve">. The Committee has the right to amend, alter, suspend, discontinue or cancel the Option, prospectively or retroactively; </w:t>
      </w:r>
      <w:r>
        <w:rPr>
          <w:rFonts w:ascii="Times New Roman" w:hAnsi="Times New Roman"/>
          <w:i/>
          <w:sz w:val="20"/>
        </w:rPr>
        <w:t>provided, that</w:t>
      </w:r>
      <w:r>
        <w:rPr>
          <w:rFonts w:ascii="Times New Roman" w:hAnsi="Times New Roman"/>
          <w:sz w:val="20"/>
        </w:rPr>
        <w:t xml:space="preserve">, no such amendment shall adversely affect the Participant’s material rights under this Agreement unless (a) the Company requests the consent of the Participant; and (b) the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Impact on Other Benefits</w:t>
      </w:r>
      <w:r>
        <w:rPr>
          <w:rFonts w:ascii="Times New Roman" w:hAnsi="Times New Roman"/>
          <w:sz w:val="20"/>
        </w:rPr>
        <w:t xml:space="preserve">. The value of the Participant’s Option is not part of his or her normal or expected compensation for purposes of calculating any severance, retirement, welfare, insurance or similar employee benefit.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Data Privacy</w:t>
      </w:r>
      <w:r>
        <w:rPr>
          <w:rFonts w:ascii="Times New Roman" w:hAnsi="Times New Roman"/>
          <w:sz w:val="20"/>
        </w:rPr>
        <w:t xml:space="preserve">.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Acceptance</w:t>
      </w:r>
      <w:r>
        <w:rPr>
          <w:rFonts w:ascii="Times New Roman" w:hAnsi="Times New Roman"/>
          <w:sz w:val="20"/>
        </w:rPr>
        <w:t xml:space="preserve">. The Participant hereby acknowledges receipt of a copy of the Plan and this Agreement. The Participant has read and understands the terms and provisions thereof, and accepts the Option subject to all of the terms and conditions of the Plan and this Agreement. The Participant acknowledges that there may be adverse tax consequences upon exercise of the Option or disposition of the underlying stock and that the Participant should consult a tax advisor prior to such exercise or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9" w:name="d367205dex9961.htm"/>
      <w:bookmarkStart w:id="10" w:name="ksd367205dex9961"/>
      <w:bookmarkEnd w:id="9"/>
      <w:bookmarkEnd w:id="10"/>
      <w:r>
        <w:rPr>
          <w:rFonts w:ascii="Times New Roman" w:hAnsi="Times New Roman"/>
          <w:b/>
          <w:sz w:val="20"/>
        </w:rPr>
        <w:t xml:space="preserve">Exhibit 99.6.1 </w:t>
      </w:r>
      <w:r>
        <w:br w:type="page"/>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Grant. No. RSU-   </w:t>
      </w:r>
    </w:p>
    <w:p>
      <w:pPr>
        <w:pStyle w:val="TextBody"/>
        <w:bidi w:val="0"/>
        <w:spacing w:before="48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2021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Grant Notice for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3"/>
        <w:gridCol w:w="129"/>
        <w:gridCol w:w="3715"/>
        <w:gridCol w:w="113"/>
        <w:gridCol w:w="5985"/>
      </w:tblGrid>
      <w:tr>
        <w:trPr/>
        <w:tc>
          <w:tcPr>
            <w:tcW w:w="26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715"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5985" w:type="dxa"/>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A.</w:t>
            </w:r>
          </w:p>
        </w:tc>
        <w:tc>
          <w:tcPr>
            <w:tcW w:w="129"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Name of Participant:</w:t>
            </w:r>
          </w:p>
        </w:tc>
        <w:tc>
          <w:tcPr>
            <w:tcW w:w="113" w:type="dxa"/>
            <w:tcBorders/>
            <w:vAlign w:val="bottom"/>
          </w:tcPr>
          <w:p>
            <w:pPr>
              <w:pStyle w:val="TableContents"/>
              <w:bidi w:val="0"/>
              <w:spacing w:before="0" w:after="283"/>
              <w:jc w:val="left"/>
              <w:rPr/>
            </w:pPr>
            <w:r>
              <w:rPr/>
              <w:t> </w:t>
            </w:r>
          </w:p>
        </w:tc>
        <w:tc>
          <w:tcPr>
            <w:tcW w:w="5985"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844" w:type="dxa"/>
            <w:gridSpan w:val="2"/>
            <w:tcBorders/>
            <w:vAlign w:val="center"/>
          </w:tcPr>
          <w:p>
            <w:pPr>
              <w:pStyle w:val="TableContents"/>
              <w:bidi w:val="0"/>
              <w:spacing w:before="0" w:after="283"/>
              <w:jc w:val="left"/>
              <w:rPr>
                <w:sz w:val="4"/>
                <w:szCs w:val="4"/>
              </w:rPr>
            </w:pPr>
            <w:r>
              <w:rPr>
                <w:sz w:val="4"/>
                <w:szCs w:val="4"/>
              </w:rPr>
            </w:r>
          </w:p>
        </w:tc>
        <w:tc>
          <w:tcPr>
            <w:tcW w:w="609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B.</w:t>
            </w:r>
          </w:p>
        </w:tc>
        <w:tc>
          <w:tcPr>
            <w:tcW w:w="129"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Grant Date:</w:t>
            </w:r>
          </w:p>
        </w:tc>
        <w:tc>
          <w:tcPr>
            <w:tcW w:w="113" w:type="dxa"/>
            <w:tcBorders/>
            <w:vAlign w:val="bottom"/>
          </w:tcPr>
          <w:p>
            <w:pPr>
              <w:pStyle w:val="TableContents"/>
              <w:bidi w:val="0"/>
              <w:spacing w:before="0" w:after="283"/>
              <w:jc w:val="left"/>
              <w:rPr/>
            </w:pPr>
            <w:r>
              <w:rPr/>
              <w:t> </w:t>
            </w:r>
          </w:p>
        </w:tc>
        <w:tc>
          <w:tcPr>
            <w:tcW w:w="5985"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844" w:type="dxa"/>
            <w:gridSpan w:val="2"/>
            <w:tcBorders/>
            <w:vAlign w:val="center"/>
          </w:tcPr>
          <w:p>
            <w:pPr>
              <w:pStyle w:val="TableContents"/>
              <w:bidi w:val="0"/>
              <w:spacing w:before="0" w:after="283"/>
              <w:jc w:val="left"/>
              <w:rPr>
                <w:sz w:val="4"/>
                <w:szCs w:val="4"/>
              </w:rPr>
            </w:pPr>
            <w:r>
              <w:rPr>
                <w:sz w:val="4"/>
                <w:szCs w:val="4"/>
              </w:rPr>
            </w:r>
          </w:p>
        </w:tc>
        <w:tc>
          <w:tcPr>
            <w:tcW w:w="609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C.</w:t>
            </w:r>
          </w:p>
        </w:tc>
        <w:tc>
          <w:tcPr>
            <w:tcW w:w="129"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Maximum Number of Shares Underlying Restricted Stock Unit Award:</w:t>
            </w:r>
          </w:p>
        </w:tc>
        <w:tc>
          <w:tcPr>
            <w:tcW w:w="113" w:type="dxa"/>
            <w:tcBorders/>
            <w:vAlign w:val="bottom"/>
          </w:tcPr>
          <w:p>
            <w:pPr>
              <w:pStyle w:val="TableContents"/>
              <w:bidi w:val="0"/>
              <w:spacing w:before="0" w:after="283"/>
              <w:jc w:val="left"/>
              <w:rPr/>
            </w:pPr>
            <w:r>
              <w:rPr/>
              <w:t> </w:t>
            </w:r>
          </w:p>
        </w:tc>
        <w:tc>
          <w:tcPr>
            <w:tcW w:w="5985"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844" w:type="dxa"/>
            <w:gridSpan w:val="2"/>
            <w:tcBorders/>
            <w:vAlign w:val="center"/>
          </w:tcPr>
          <w:p>
            <w:pPr>
              <w:pStyle w:val="TableContents"/>
              <w:bidi w:val="0"/>
              <w:spacing w:before="0" w:after="283"/>
              <w:jc w:val="left"/>
              <w:rPr>
                <w:sz w:val="4"/>
                <w:szCs w:val="4"/>
              </w:rPr>
            </w:pPr>
            <w:r>
              <w:rPr>
                <w:sz w:val="4"/>
                <w:szCs w:val="4"/>
              </w:rPr>
            </w:r>
          </w:p>
        </w:tc>
        <w:tc>
          <w:tcPr>
            <w:tcW w:w="609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D.</w:t>
            </w:r>
          </w:p>
        </w:tc>
        <w:tc>
          <w:tcPr>
            <w:tcW w:w="129"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Vesting Start Date:</w:t>
            </w:r>
          </w:p>
        </w:tc>
        <w:tc>
          <w:tcPr>
            <w:tcW w:w="113" w:type="dxa"/>
            <w:tcBorders/>
            <w:vAlign w:val="bottom"/>
          </w:tcPr>
          <w:p>
            <w:pPr>
              <w:pStyle w:val="TableContents"/>
              <w:bidi w:val="0"/>
              <w:spacing w:before="0" w:after="283"/>
              <w:jc w:val="left"/>
              <w:rPr/>
            </w:pPr>
            <w:r>
              <w:rPr/>
              <w:t> </w:t>
            </w:r>
          </w:p>
        </w:tc>
        <w:tc>
          <w:tcPr>
            <w:tcW w:w="5985" w:type="dxa"/>
            <w:tcBorders/>
          </w:tcPr>
          <w:p>
            <w:pPr>
              <w:pStyle w:val="TableContents"/>
              <w:pBdr>
                <w:bottom w:val="single" w:sz="2" w:space="1" w:color="000000"/>
              </w:pBdr>
              <w:bidi w:val="0"/>
              <w:spacing w:before="0" w:after="20"/>
              <w:jc w:val="left"/>
              <w:rPr/>
            </w:pPr>
            <w:r>
              <w:rPr/>
              <w:t> </w:t>
            </w:r>
          </w:p>
        </w:tc>
      </w:tr>
      <w:tr>
        <w:trPr>
          <w:trHeight w:val="120" w:hRule="atLeast"/>
        </w:trPr>
        <w:tc>
          <w:tcPr>
            <w:tcW w:w="263" w:type="dxa"/>
            <w:tcBorders/>
            <w:vAlign w:val="center"/>
          </w:tcPr>
          <w:p>
            <w:pPr>
              <w:pStyle w:val="TableContents"/>
              <w:bidi w:val="0"/>
              <w:spacing w:before="0" w:after="283"/>
              <w:jc w:val="left"/>
              <w:rPr>
                <w:sz w:val="4"/>
                <w:szCs w:val="4"/>
              </w:rPr>
            </w:pPr>
            <w:r>
              <w:rPr>
                <w:sz w:val="4"/>
                <w:szCs w:val="4"/>
              </w:rPr>
            </w:r>
          </w:p>
        </w:tc>
        <w:tc>
          <w:tcPr>
            <w:tcW w:w="3844" w:type="dxa"/>
            <w:gridSpan w:val="2"/>
            <w:tcBorders/>
            <w:vAlign w:val="center"/>
          </w:tcPr>
          <w:p>
            <w:pPr>
              <w:pStyle w:val="TableContents"/>
              <w:bidi w:val="0"/>
              <w:spacing w:before="0" w:after="283"/>
              <w:jc w:val="left"/>
              <w:rPr>
                <w:sz w:val="4"/>
                <w:szCs w:val="4"/>
              </w:rPr>
            </w:pPr>
            <w:r>
              <w:rPr>
                <w:sz w:val="4"/>
                <w:szCs w:val="4"/>
              </w:rPr>
            </w:r>
          </w:p>
        </w:tc>
        <w:tc>
          <w:tcPr>
            <w:tcW w:w="6098" w:type="dxa"/>
            <w:gridSpan w:val="2"/>
            <w:tcBorders/>
            <w:vAlign w:val="center"/>
          </w:tcPr>
          <w:p>
            <w:pPr>
              <w:pStyle w:val="TableContents"/>
              <w:bidi w:val="0"/>
              <w:spacing w:before="0" w:after="283"/>
              <w:jc w:val="left"/>
              <w:rPr>
                <w:sz w:val="4"/>
                <w:szCs w:val="4"/>
              </w:rPr>
            </w:pPr>
            <w:r>
              <w:rPr>
                <w:sz w:val="4"/>
                <w:szCs w:val="4"/>
              </w:rPr>
            </w:r>
          </w:p>
        </w:tc>
      </w:tr>
      <w:tr>
        <w:trPr/>
        <w:tc>
          <w:tcPr>
            <w:tcW w:w="263" w:type="dxa"/>
            <w:tcBorders/>
          </w:tcPr>
          <w:p>
            <w:pPr>
              <w:pStyle w:val="TableContents"/>
              <w:bidi w:val="0"/>
              <w:spacing w:before="0" w:after="283"/>
              <w:jc w:val="left"/>
              <w:rPr/>
            </w:pPr>
            <w:r>
              <w:rPr/>
              <w:t>E.</w:t>
            </w:r>
          </w:p>
        </w:tc>
        <w:tc>
          <w:tcPr>
            <w:tcW w:w="129" w:type="dxa"/>
            <w:tcBorders/>
            <w:vAlign w:val="bottom"/>
          </w:tcPr>
          <w:p>
            <w:pPr>
              <w:pStyle w:val="TableContents"/>
              <w:bidi w:val="0"/>
              <w:spacing w:before="0" w:after="283"/>
              <w:jc w:val="left"/>
              <w:rPr/>
            </w:pPr>
            <w:r>
              <w:rPr/>
              <w:t>  </w:t>
            </w:r>
          </w:p>
        </w:tc>
        <w:tc>
          <w:tcPr>
            <w:tcW w:w="3715" w:type="dxa"/>
            <w:tcBorders/>
          </w:tcPr>
          <w:p>
            <w:pPr>
              <w:pStyle w:val="TableContents"/>
              <w:bidi w:val="0"/>
              <w:spacing w:before="0" w:after="283"/>
              <w:jc w:val="left"/>
              <w:rPr/>
            </w:pPr>
            <w:r>
              <w:rPr/>
              <w:t>Vesting Schedule:</w:t>
            </w:r>
          </w:p>
        </w:tc>
        <w:tc>
          <w:tcPr>
            <w:tcW w:w="113" w:type="dxa"/>
            <w:tcBorders/>
            <w:vAlign w:val="bottom"/>
          </w:tcPr>
          <w:p>
            <w:pPr>
              <w:pStyle w:val="TableContents"/>
              <w:bidi w:val="0"/>
              <w:spacing w:before="0" w:after="283"/>
              <w:jc w:val="left"/>
              <w:rPr/>
            </w:pPr>
            <w:r>
              <w:rPr/>
              <w:t> </w:t>
            </w:r>
          </w:p>
        </w:tc>
        <w:tc>
          <w:tcPr>
            <w:tcW w:w="598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Restricted Stock Unit Award shall vest as follows provided the Participant remains in Continuous Service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[__]. </w:t>
      </w:r>
    </w:p>
    <w:p>
      <w:pPr>
        <w:pStyle w:val="TextBody"/>
        <w:bidi w:val="0"/>
        <w:spacing w:before="240" w:after="0"/>
        <w:jc w:val="left"/>
        <w:rPr>
          <w:rFonts w:ascii="Times New Roman" w:hAnsi="Times New Roman"/>
          <w:sz w:val="20"/>
        </w:rPr>
      </w:pPr>
      <w:r>
        <w:rPr>
          <w:rFonts w:ascii="Times New Roman" w:hAnsi="Times New Roman"/>
          <w:sz w:val="20"/>
        </w:rPr>
        <w:t xml:space="preserve">[__].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Participant acknowledge receipt of this Restricted Stock Unit Award Grant Notice and agree to the terms of the Restricted Stock Unit Agreement attached hereto and incorporated by reference herein, the Company’s Amended and Restated 2021 Equity Incentive Plan and the terms of this Restricted Stock Unit Award as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24"/>
        <w:gridCol w:w="132"/>
        <w:gridCol w:w="3026"/>
      </w:tblGrid>
      <w:tr>
        <w:trPr/>
        <w:tc>
          <w:tcPr>
            <w:tcW w:w="9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Wave Life Sciences, Inc.</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Participant</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RESTRICTED STOCK UNIT AGREEMENT - INCORPORATED TERMS AND CONDITIONS </w:t>
      </w:r>
    </w:p>
    <w:p>
      <w:pPr>
        <w:pStyle w:val="TextBody"/>
        <w:bidi w:val="0"/>
        <w:spacing w:before="240" w:after="0"/>
        <w:jc w:val="left"/>
        <w:rPr>
          <w:rFonts w:ascii="Times New Roman" w:hAnsi="Times New Roman"/>
          <w:sz w:val="20"/>
        </w:rPr>
      </w:pPr>
      <w:r>
        <w:rPr>
          <w:rFonts w:ascii="Times New Roman" w:hAnsi="Times New Roman"/>
          <w:sz w:val="20"/>
        </w:rPr>
        <w:t>This Restricted Stock Unit Agreement (this “</w:t>
      </w:r>
      <w:r>
        <w:rPr>
          <w:rFonts w:ascii="Times New Roman" w:hAnsi="Times New Roman"/>
          <w:sz w:val="20"/>
          <w:u w:val="single"/>
        </w:rPr>
        <w:t>Agreement</w:t>
      </w:r>
      <w:r>
        <w:rPr>
          <w:rFonts w:ascii="Times New Roman" w:hAnsi="Times New Roman"/>
          <w:sz w:val="20"/>
        </w:rPr>
        <w:t>”) is made and entered into as of the Grant Date by and between Wave Life Sciences, Inc., a company incorporated in Delaware (the “</w:t>
      </w:r>
      <w:r>
        <w:rPr>
          <w:rFonts w:ascii="Times New Roman" w:hAnsi="Times New Roman"/>
          <w:sz w:val="20"/>
          <w:u w:val="single"/>
        </w:rPr>
        <w:t>Company</w:t>
      </w:r>
      <w:r>
        <w:rPr>
          <w:rFonts w:ascii="Times New Roman" w:hAnsi="Times New Roman"/>
          <w:sz w:val="20"/>
        </w:rPr>
        <w:t>”), and the individual whose name appears on the Restricted Stock Unit Award Grant Notice (the “</w:t>
      </w:r>
      <w:r>
        <w:rPr>
          <w:rFonts w:ascii="Times New Roman" w:hAnsi="Times New Roman"/>
          <w:sz w:val="20"/>
          <w:u w:val="single"/>
        </w:rPr>
        <w:t>Participant</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adopted the Wave Life Sciences, Inc. Amended and Restated 2021 Equity Incentive Plan (the “</w:t>
      </w:r>
      <w:r>
        <w:rPr>
          <w:rFonts w:ascii="Times New Roman" w:hAnsi="Times New Roman"/>
          <w:sz w:val="20"/>
          <w:u w:val="single"/>
        </w:rPr>
        <w:t>Plan</w:t>
      </w:r>
      <w:r>
        <w:rPr>
          <w:rFonts w:ascii="Times New Roman" w:hAnsi="Times New Roman"/>
          <w:sz w:val="20"/>
        </w:rPr>
        <w:t xml:space="preserve">”) pursuant to which awards of Restricted Stock Units may be granted;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or the Committee has determined that it is in the best interests of the Company and its stockholders to grant the award of Restricted Stock Units provided for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hereto, intending to be legally bound,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 of Restricted Stock Units</w:t>
      </w:r>
      <w:r>
        <w:rPr>
          <w:rFonts w:ascii="Times New Roman" w:hAnsi="Times New Roman"/>
          <w:sz w:val="20"/>
        </w:rPr>
        <w:t>. Pursuant to Section 7.2 of the Plan, the Company hereby issues to the Participant on the Grant Date set forth in the Restricted Stock Unit Award Grant Notice (the “Award”) the number of Restricted Stock Units (the “</w:t>
      </w:r>
      <w:r>
        <w:rPr>
          <w:rFonts w:ascii="Times New Roman" w:hAnsi="Times New Roman"/>
          <w:sz w:val="20"/>
          <w:u w:val="single"/>
        </w:rPr>
        <w:t>Restricted Stock Units</w:t>
      </w:r>
      <w:r>
        <w:rPr>
          <w:rFonts w:ascii="Times New Roman" w:hAnsi="Times New Roman"/>
          <w:sz w:val="20"/>
        </w:rPr>
        <w:t xml:space="preserve">”) set forth in the Award. Each Restricted Stock Unit represents a contingent right to receive one Common Share, subject to the terms and conditions set forth in this Agreement and the Plan. Capitalized terms that are used but not defined herein have the meaning ascribed to them in the Plan.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Consideration</w:t>
      </w:r>
      <w:r>
        <w:rPr>
          <w:rFonts w:ascii="Times New Roman" w:hAnsi="Times New Roman"/>
          <w:sz w:val="20"/>
        </w:rPr>
        <w:t xml:space="preserve">. The grant of the Restricted Stock Units is made in consideration of the services to be rendered by the Participant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3.1 Except as otherwise provided herein, provided that the Participant remains in Continuous Service through the applicable vesting date, the Restricted Stock Units will vest, and no longer be subject to any restrictions, in accordance with the schedule set forth in the Award (the period during which restrictions apply, the “</w:t>
      </w:r>
      <w:r>
        <w:rPr>
          <w:rFonts w:ascii="Times New Roman" w:hAnsi="Times New Roman"/>
          <w:sz w:val="20"/>
          <w:u w:val="single"/>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3.2 The foregoing vesting schedule notwithstanding, if the Participant’s Continuous Service terminates for any reason at any time before all of his or her Restricted Stock Units have vested, the Participant’s unvested Restricted Stock Units shall be automatically forfeited upon such termination of Continuous Service and neither the Company nor any Affiliate shall have any further obligations to the Participant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Rights as Stockholder; Dividend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The Participant shall not have any rights of a stockholder with respect to the Common Shares underlying the Restricted Stock Units (including, without limitation, any voting rights or any right to dividends paid with respect to the Common Shares underlying the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4.2 The Participant shall not be entitled to any Dividend Equivalents in respect of the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 of 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Within ten days of the vesting of a Restricted Stock Unit, the Company shall issue Common Shares registered in the name of the Participant, the Participant’s authorized assignee, or the Participant’s legal representative, which shall be evidenced by share certificates representing the shares with the appropriate legends affixed thereto, appropriate entry on the books of the Company or of a duly authorized transfer agent, or other appropriate means as determined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5.2 To the extent that the Participant does not vest in any Restricted Stock Units, all interest in such Restricted Stock Units shall be forfeited. The Participant has no right or interest in any Restricted Stock Units that are forfeited.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Liability and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The Participant shall be required to pay to the Company, and the Company shall deduct from any compensation paid to the Participant pursuant to the vesting of the Restricted Stock Units, the amount of any applicable foreign, federal, state and local withholding obligations of the Company in respect of the Restricted Stock Units and take all such other action as the Company deems necessary to satisfy all obligations for the payment of such withholding taxes. The Company shall not deliver any shares to the Participant until it is satisfied that all required withholdings have been made by instructing a registered broker chosen by the Company. At the option of the Company, the Company may require the sale by the Participant on the applicable vesting date such number of Common Shares as the Company deems necessary to satisfy the Company’s maximum withholding obligation, after deducting the broker’s commission. Such sales shall be made pursuant to a mandatory “sell-to-cover” program instituted by the Company with no discretion by the Participant with respect to any sale under the “sell-to-cover” program.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the Participant shall execute any such documents requested by the broker in order to effectuate the sale of Common Shares and payment of the withholding obligation to the Company. </w:t>
      </w:r>
    </w:p>
    <w:p>
      <w:pPr>
        <w:pStyle w:val="TextBody"/>
        <w:bidi w:val="0"/>
        <w:spacing w:before="120" w:after="0"/>
        <w:jc w:val="left"/>
        <w:rPr>
          <w:rFonts w:ascii="Times New Roman" w:hAnsi="Times New Roman"/>
          <w:sz w:val="20"/>
        </w:rPr>
      </w:pPr>
      <w:r>
        <w:rPr>
          <w:rFonts w:ascii="Times New Roman" w:hAnsi="Times New Roman"/>
          <w:sz w:val="20"/>
        </w:rPr>
        <w:t>6.2 Notwithstanding any action the Company takes with respect to any or all income tax, social insurance, payroll tax, or other tax-related withholding (“</w:t>
      </w:r>
      <w:r>
        <w:rPr>
          <w:rFonts w:ascii="Times New Roman" w:hAnsi="Times New Roman"/>
          <w:sz w:val="20"/>
          <w:u w:val="single"/>
        </w:rPr>
        <w:t>Tax-Related Items</w:t>
      </w:r>
      <w:r>
        <w:rPr>
          <w:rFonts w:ascii="Times New Roman" w:hAnsi="Times New Roman"/>
          <w:sz w:val="20"/>
        </w:rPr>
        <w:t xml:space="preserve">”),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and (b) does not commit to structure the Restricted Stock Units to reduce or eliminate the Participant’s liability for Tax-Related Items.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Right to Continued Service; No Rights as Stockholder</w:t>
      </w:r>
      <w:r>
        <w:rPr>
          <w:rFonts w:ascii="Times New Roman" w:hAnsi="Times New Roman"/>
          <w:sz w:val="20"/>
        </w:rPr>
        <w:t xml:space="preserve">. Neither the Plan nor this Agreement shall confer upon the Participant any right to be retained in any position, as an Employee, Consultant or Director of the Company. Further, nothing in the Plan or this Agreement shall be construed to limit the discretion of the Company to terminate the Participant’s Continuous Service at any time, with or without Cause. The Participant shall not have any rights as a stockholder with respect to any Common Shares subject to the Restricted Stock Units prior to the date of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Transferability</w:t>
      </w:r>
      <w:r>
        <w:rPr>
          <w:rFonts w:ascii="Times New Roman" w:hAnsi="Times New Roman"/>
          <w:sz w:val="20"/>
        </w:rPr>
        <w:t xml:space="preserve">. The Restricted Stock Units are not transferable by the Participant other than to a designated beneficiary upon the Participant’s death or by will or the laws of descent and distribution or pursuant to a qualified domestic relations order as defined by Applicable Laws. No assignment or transfer of the Restricted Stock Units,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Restricted Stock Units will be forfeited by the Participant and all of the Participant’s rights to such Restricted Stock Units shall immediately terminate without payment or consideration by the Company and become of no further effect.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Corporate Transaction and Adjustments</w:t>
      </w:r>
      <w:r>
        <w:rPr>
          <w:rFonts w:ascii="Times New Roman" w:hAnsi="Times New Roman"/>
          <w:sz w:val="20"/>
        </w:rPr>
        <w:t xml:space="preserve">. The Common Shares subject to the Restricted Stock Units may be adjusted or terminated in any manner as contemplated by Sections 11 and 12 of the Plan.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Compliance with Law</w:t>
      </w:r>
      <w:r>
        <w:rPr>
          <w:rFonts w:ascii="Times New Roman" w:hAnsi="Times New Roman"/>
          <w:sz w:val="20"/>
        </w:rPr>
        <w:t xml:space="preserve">. This Award and the issuance and transfer of Common Shares shall be subject to compliance by the Company and the Participant with all Applicable Laws. No Common Shares shall be issued upon vesting of the Restricted Stock Units unless and until any then Applicable Laws have been fully complied with to the satisfaction of the Company and its counsel. The Participant understands that the Company is under no obligation to register the Common Shares with the U.S. Securities and Exchange Commission, any state securities commission or any stock exchange or under any other Applicable Laws to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Governing Law</w:t>
      </w:r>
      <w:r>
        <w:rPr>
          <w:rFonts w:ascii="Times New Roman" w:hAnsi="Times New Roman"/>
          <w:sz w:val="20"/>
        </w:rPr>
        <w:t xml:space="preserve">. This Agreement will be construed and interpreted in accordance with the laws of the State of Delaware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Interpretation</w:t>
      </w:r>
      <w:r>
        <w:rPr>
          <w:rFonts w:ascii="Times New Roman" w:hAnsi="Times New Roman"/>
          <w:sz w:val="20"/>
        </w:rPr>
        <w:t xml:space="preserve">. Any dispute regarding the interpretation of this Agreement shall be submitted by the Participant or the Company to the Committee for review. The resolution of such dispute by the Committee shall be final and binding on the Participant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Restricted Stock Units Subject to Plan</w:t>
      </w:r>
      <w:r>
        <w:rPr>
          <w:rFonts w:ascii="Times New Roman" w:hAnsi="Times New Roman"/>
          <w:sz w:val="20"/>
        </w:rPr>
        <w:t xml:space="preserve">.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 The Company may assign any of its rights under this Agreement</w:t>
      </w:r>
      <w:r>
        <w:rPr>
          <w:rFonts w:ascii="Times New Roman" w:hAnsi="Times New Roman"/>
          <w:sz w:val="20"/>
        </w:rPr>
        <w:t xml:space="preserve">.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 The invalidity or unenforceability of any provision of the Plan or this</w:t>
      </w:r>
      <w:r>
        <w:rPr>
          <w:rFonts w:ascii="Times New Roman" w:hAnsi="Times New Roman"/>
          <w:sz w:val="20"/>
        </w:rPr>
        <w:t xml:space="preserve"> Ag</w:t>
      </w:r>
      <w:r>
        <w:rPr>
          <w:rFonts w:ascii="Times New Roman" w:hAnsi="Times New Roman"/>
          <w:sz w:val="20"/>
          <w:u w:val="single"/>
        </w:rPr>
        <w:t>r</w:t>
      </w:r>
      <w:r>
        <w:rPr>
          <w:rFonts w:ascii="Times New Roman" w:hAnsi="Times New Roman"/>
          <w:sz w:val="20"/>
        </w:rPr>
        <w:t xml:space="preserve">eement shall not affect the validity or enforceability of any other provision of the Plan or this Agreement, and each provision of the Plan and this Agreement shall be severable and enforceable to the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Discretionary Nature of Plan</w:t>
      </w:r>
      <w:r>
        <w:rPr>
          <w:rFonts w:ascii="Times New Roman" w:hAnsi="Times New Roman"/>
          <w:sz w:val="20"/>
        </w:rPr>
        <w:t xml:space="preserve">.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Amendment</w:t>
      </w:r>
      <w:r>
        <w:rPr>
          <w:rFonts w:ascii="Times New Roman" w:hAnsi="Times New Roman"/>
          <w:sz w:val="20"/>
        </w:rPr>
        <w:t xml:space="preserve">. The Committee has the right to amend, alter, suspend, discontinue or cancel the Restricted Stock Units, prospectively or retroactively; </w:t>
      </w:r>
      <w:r>
        <w:rPr>
          <w:rFonts w:ascii="Times New Roman" w:hAnsi="Times New Roman"/>
          <w:i/>
          <w:sz w:val="20"/>
        </w:rPr>
        <w:t>provided, that</w:t>
      </w:r>
      <w:r>
        <w:rPr>
          <w:rFonts w:ascii="Times New Roman" w:hAnsi="Times New Roman"/>
          <w:sz w:val="20"/>
        </w:rPr>
        <w:t xml:space="preserve">, no such amendment shall adversely affect the Participant’s material rights under this Agreement unless (a) the Company requests the consent of the Participant; and (b) the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Section 409A</w:t>
      </w:r>
      <w:r>
        <w:rPr>
          <w:rFonts w:ascii="Times New Roman" w:hAnsi="Times New Roman"/>
          <w:sz w:val="20"/>
        </w:rPr>
        <w:t xml:space="preserve">. This Agreement is intended to comply with an exemption from Section 409A of the Code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 Impact on Other Benefits</w:t>
      </w:r>
      <w:r>
        <w:rPr>
          <w:rFonts w:ascii="Times New Roman" w:hAnsi="Times New Roman"/>
          <w:sz w:val="20"/>
        </w:rPr>
        <w:t xml:space="preserve">. The value of the Participant’s Restricted Stock Units is not part of his or her normal or expected compensation for purposes of calculating any severance, retirement, welfare, insurance or similar employee benefit.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Data Privacy</w:t>
      </w:r>
      <w:r>
        <w:rPr>
          <w:rFonts w:ascii="Times New Roman" w:hAnsi="Times New Roman"/>
          <w:sz w:val="20"/>
        </w:rPr>
        <w:t xml:space="preserve">.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Stock Units and the administration of the Plan; and (ii) authorizes the Company and each Affiliate to store and transmit such information in electronic form for the purposes set forth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Acceptance</w:t>
      </w:r>
      <w:r>
        <w:rPr>
          <w:rFonts w:ascii="Times New Roman" w:hAnsi="Times New Roman"/>
          <w:sz w:val="20"/>
        </w:rPr>
        <w:t xml:space="preserve">. The Participant hereby acknowledges receipt of a copy of the Plan and this Agreement. The Participant has read and understands the terms and provisions thereof, and accepts the Restricted Stock Units subject to all of the terms and conditions of the Plan and this Agreement. The Participant acknowledges that there may be adverse tax consequences upon the vesting or settlement of the Restricted Stock Units and that the Participant should consult a tax advisor prior to such vesting or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right"/>
        <w:rPr>
          <w:rFonts w:ascii="Times New Roman" w:hAnsi="Times New Roman"/>
          <w:b/>
          <w:sz w:val="20"/>
        </w:rPr>
      </w:pPr>
      <w:bookmarkStart w:id="11" w:name="d367205dex9971.htm"/>
      <w:bookmarkStart w:id="12" w:name="ksd367205dex9971"/>
      <w:bookmarkEnd w:id="11"/>
      <w:bookmarkEnd w:id="12"/>
      <w:r>
        <w:rPr>
          <w:rFonts w:ascii="Times New Roman" w:hAnsi="Times New Roman"/>
          <w:b/>
          <w:sz w:val="20"/>
        </w:rPr>
        <w:t xml:space="preserve">Exhibit 99.7.1 </w:t>
      </w:r>
      <w:r>
        <w:br w:type="page"/>
      </w:r>
    </w:p>
    <w:p>
      <w:pPr>
        <w:pStyle w:val="TextBody"/>
        <w:bidi w:val="0"/>
        <w:spacing w:before="120" w:after="0"/>
        <w:jc w:val="right"/>
        <w:rPr>
          <w:rFonts w:ascii="Times New Roman" w:hAnsi="Times New Roman"/>
          <w:b/>
          <w:sz w:val="20"/>
        </w:rPr>
      </w:pPr>
      <w:r>
        <w:rPr>
          <w:rFonts w:ascii="Times New Roman" w:hAnsi="Times New Roman"/>
          <w:b/>
          <w:sz w:val="20"/>
          <w:u w:val="single"/>
        </w:rPr>
        <w:t>Grant No.  </w:t>
      </w:r>
      <w:r>
        <w:rPr>
          <w:rFonts w:ascii="Times New Roman" w:hAnsi="Times New Roman"/>
          <w:b/>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2021 EQUITY INCENTIVE PLAN </w:t>
      </w:r>
    </w:p>
    <w:p>
      <w:pPr>
        <w:pStyle w:val="TextBody"/>
        <w:bidi w:val="0"/>
        <w:spacing w:before="240" w:after="0"/>
        <w:jc w:val="center"/>
        <w:rPr>
          <w:rFonts w:ascii="Times New Roman" w:hAnsi="Times New Roman"/>
          <w:b/>
          <w:sz w:val="20"/>
        </w:rPr>
      </w:pPr>
      <w:r>
        <w:rPr>
          <w:rFonts w:ascii="Times New Roman" w:hAnsi="Times New Roman"/>
          <w:b/>
          <w:sz w:val="20"/>
        </w:rPr>
        <w:t xml:space="preserve">Non-qualified Stock Option Grant Notice </w:t>
      </w:r>
    </w:p>
    <w:p>
      <w:pPr>
        <w:pStyle w:val="TextBody"/>
        <w:bidi w:val="0"/>
        <w:spacing w:before="0" w:after="0"/>
        <w:jc w:val="center"/>
        <w:rPr>
          <w:rFonts w:ascii="Times New Roman" w:hAnsi="Times New Roman"/>
          <w:b/>
          <w:sz w:val="20"/>
        </w:rPr>
      </w:pPr>
      <w:r>
        <w:rPr>
          <w:rFonts w:ascii="Times New Roman" w:hAnsi="Times New Roman"/>
          <w:b/>
          <w:sz w:val="20"/>
        </w:rPr>
        <w:t xml:space="preserve">Under the Company’s Non-qualified Stock Option Agreement (for UK Participants)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9"/>
        <w:gridCol w:w="127"/>
        <w:gridCol w:w="3626"/>
        <w:gridCol w:w="111"/>
        <w:gridCol w:w="6082"/>
      </w:tblGrid>
      <w:tr>
        <w:trPr/>
        <w:tc>
          <w:tcPr>
            <w:tcW w:w="259"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082" w:type="dxa"/>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A.</w:t>
            </w:r>
          </w:p>
        </w:tc>
        <w:tc>
          <w:tcPr>
            <w:tcW w:w="127"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of Participant:</w:t>
            </w:r>
          </w:p>
        </w:tc>
        <w:tc>
          <w:tcPr>
            <w:tcW w:w="111" w:type="dxa"/>
            <w:tcBorders/>
            <w:vAlign w:val="bottom"/>
          </w:tcPr>
          <w:p>
            <w:pPr>
              <w:pStyle w:val="TableContents"/>
              <w:bidi w:val="0"/>
              <w:spacing w:before="0" w:after="283"/>
              <w:jc w:val="left"/>
              <w:rPr/>
            </w:pPr>
            <w:r>
              <w:rPr/>
              <w:t> </w:t>
            </w:r>
          </w:p>
        </w:tc>
        <w:tc>
          <w:tcPr>
            <w:tcW w:w="6082" w:type="dxa"/>
            <w:tcBorders/>
          </w:tcPr>
          <w:p>
            <w:pPr>
              <w:pStyle w:val="TableContents"/>
              <w:pBdr>
                <w:bottom w:val="single" w:sz="2" w:space="1" w:color="000000"/>
              </w:pBdr>
              <w:bidi w:val="0"/>
              <w:spacing w:before="0" w:after="20"/>
              <w:jc w:val="left"/>
              <w:rPr/>
            </w:pPr>
            <w:r>
              <w:rPr/>
              <w:t> </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3753" w:type="dxa"/>
            <w:gridSpan w:val="2"/>
            <w:tcBorders/>
            <w:vAlign w:val="center"/>
          </w:tcPr>
          <w:p>
            <w:pPr>
              <w:pStyle w:val="TableContents"/>
              <w:bidi w:val="0"/>
              <w:spacing w:before="0" w:after="283"/>
              <w:jc w:val="left"/>
              <w:rPr>
                <w:sz w:val="4"/>
                <w:szCs w:val="4"/>
              </w:rPr>
            </w:pPr>
            <w:r>
              <w:rPr>
                <w:sz w:val="4"/>
                <w:szCs w:val="4"/>
              </w:rPr>
            </w:r>
          </w:p>
        </w:tc>
        <w:tc>
          <w:tcPr>
            <w:tcW w:w="6193"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B.</w:t>
            </w:r>
          </w:p>
        </w:tc>
        <w:tc>
          <w:tcPr>
            <w:tcW w:w="127"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Grant Date:</w:t>
            </w:r>
          </w:p>
        </w:tc>
        <w:tc>
          <w:tcPr>
            <w:tcW w:w="111" w:type="dxa"/>
            <w:tcBorders/>
            <w:vAlign w:val="bottom"/>
          </w:tcPr>
          <w:p>
            <w:pPr>
              <w:pStyle w:val="TableContents"/>
              <w:bidi w:val="0"/>
              <w:spacing w:before="0" w:after="283"/>
              <w:jc w:val="left"/>
              <w:rPr/>
            </w:pPr>
            <w:r>
              <w:rPr/>
              <w:t> </w:t>
            </w:r>
          </w:p>
        </w:tc>
        <w:tc>
          <w:tcPr>
            <w:tcW w:w="6082" w:type="dxa"/>
            <w:tcBorders/>
          </w:tcPr>
          <w:p>
            <w:pPr>
              <w:pStyle w:val="TableContents"/>
              <w:pBdr>
                <w:bottom w:val="single" w:sz="2" w:space="1" w:color="000000"/>
              </w:pBdr>
              <w:bidi w:val="0"/>
              <w:spacing w:before="0" w:after="20"/>
              <w:jc w:val="left"/>
              <w:rPr/>
            </w:pPr>
            <w:r>
              <w:rPr/>
              <w:t> </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3753" w:type="dxa"/>
            <w:gridSpan w:val="2"/>
            <w:tcBorders/>
            <w:vAlign w:val="center"/>
          </w:tcPr>
          <w:p>
            <w:pPr>
              <w:pStyle w:val="TableContents"/>
              <w:bidi w:val="0"/>
              <w:spacing w:before="0" w:after="283"/>
              <w:jc w:val="left"/>
              <w:rPr>
                <w:sz w:val="4"/>
                <w:szCs w:val="4"/>
              </w:rPr>
            </w:pPr>
            <w:r>
              <w:rPr>
                <w:sz w:val="4"/>
                <w:szCs w:val="4"/>
              </w:rPr>
            </w:r>
          </w:p>
        </w:tc>
        <w:tc>
          <w:tcPr>
            <w:tcW w:w="6193"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vAlign w:val="bottom"/>
          </w:tcPr>
          <w:p>
            <w:pPr>
              <w:pStyle w:val="TableContents"/>
              <w:bidi w:val="0"/>
              <w:spacing w:before="0" w:after="283"/>
              <w:jc w:val="left"/>
              <w:rPr/>
            </w:pPr>
            <w:r>
              <w:rPr/>
              <w:t>C.</w:t>
            </w:r>
          </w:p>
        </w:tc>
        <w:tc>
          <w:tcPr>
            <w:tcW w:w="127"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Expiration Date:</w:t>
            </w:r>
          </w:p>
        </w:tc>
        <w:tc>
          <w:tcPr>
            <w:tcW w:w="111" w:type="dxa"/>
            <w:tcBorders/>
            <w:vAlign w:val="bottom"/>
          </w:tcPr>
          <w:p>
            <w:pPr>
              <w:pStyle w:val="TableContents"/>
              <w:bidi w:val="0"/>
              <w:spacing w:before="0" w:after="283"/>
              <w:jc w:val="left"/>
              <w:rPr/>
            </w:pPr>
            <w:r>
              <w:rPr/>
              <w:t> </w:t>
            </w:r>
          </w:p>
        </w:tc>
        <w:tc>
          <w:tcPr>
            <w:tcW w:w="6082" w:type="dxa"/>
            <w:tcBorders/>
          </w:tcPr>
          <w:p>
            <w:pPr>
              <w:pStyle w:val="TableContents"/>
              <w:bidi w:val="0"/>
              <w:spacing w:before="0" w:after="0"/>
              <w:jc w:val="left"/>
              <w:rPr/>
            </w:pPr>
            <w:r>
              <w:rPr/>
              <w:t> </w:t>
            </w:r>
          </w:p>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10-year anniversary of the Grant Date</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3753" w:type="dxa"/>
            <w:gridSpan w:val="2"/>
            <w:tcBorders/>
            <w:vAlign w:val="center"/>
          </w:tcPr>
          <w:p>
            <w:pPr>
              <w:pStyle w:val="TableContents"/>
              <w:bidi w:val="0"/>
              <w:spacing w:before="0" w:after="283"/>
              <w:jc w:val="left"/>
              <w:rPr>
                <w:sz w:val="4"/>
                <w:szCs w:val="4"/>
              </w:rPr>
            </w:pPr>
            <w:r>
              <w:rPr>
                <w:sz w:val="4"/>
                <w:szCs w:val="4"/>
              </w:rPr>
            </w:r>
          </w:p>
        </w:tc>
        <w:tc>
          <w:tcPr>
            <w:tcW w:w="6193"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D.</w:t>
            </w:r>
          </w:p>
        </w:tc>
        <w:tc>
          <w:tcPr>
            <w:tcW w:w="127"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Maximum Number of Common Shares for which this Option is exercisable:</w:t>
            </w:r>
          </w:p>
        </w:tc>
        <w:tc>
          <w:tcPr>
            <w:tcW w:w="111" w:type="dxa"/>
            <w:tcBorders/>
            <w:vAlign w:val="bottom"/>
          </w:tcPr>
          <w:p>
            <w:pPr>
              <w:pStyle w:val="TableContents"/>
              <w:bidi w:val="0"/>
              <w:spacing w:before="0" w:after="283"/>
              <w:jc w:val="left"/>
              <w:rPr/>
            </w:pPr>
            <w:r>
              <w:rPr/>
              <w:t> </w:t>
            </w:r>
          </w:p>
        </w:tc>
        <w:tc>
          <w:tcPr>
            <w:tcW w:w="6082"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3753" w:type="dxa"/>
            <w:gridSpan w:val="2"/>
            <w:tcBorders/>
            <w:vAlign w:val="center"/>
          </w:tcPr>
          <w:p>
            <w:pPr>
              <w:pStyle w:val="TableContents"/>
              <w:bidi w:val="0"/>
              <w:spacing w:before="0" w:after="283"/>
              <w:jc w:val="left"/>
              <w:rPr>
                <w:sz w:val="4"/>
                <w:szCs w:val="4"/>
              </w:rPr>
            </w:pPr>
            <w:r>
              <w:rPr>
                <w:sz w:val="4"/>
                <w:szCs w:val="4"/>
              </w:rPr>
            </w:r>
          </w:p>
        </w:tc>
        <w:tc>
          <w:tcPr>
            <w:tcW w:w="6193"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E.</w:t>
            </w:r>
          </w:p>
        </w:tc>
        <w:tc>
          <w:tcPr>
            <w:tcW w:w="127"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Exercise (purchase) Price per Common Share:</w:t>
            </w:r>
          </w:p>
        </w:tc>
        <w:tc>
          <w:tcPr>
            <w:tcW w:w="111" w:type="dxa"/>
            <w:tcBorders/>
            <w:vAlign w:val="bottom"/>
          </w:tcPr>
          <w:p>
            <w:pPr>
              <w:pStyle w:val="TableContents"/>
              <w:bidi w:val="0"/>
              <w:spacing w:before="0" w:after="283"/>
              <w:jc w:val="left"/>
              <w:rPr/>
            </w:pPr>
            <w:r>
              <w:rPr/>
              <w:t> </w:t>
            </w:r>
          </w:p>
        </w:tc>
        <w:tc>
          <w:tcPr>
            <w:tcW w:w="6082" w:type="dxa"/>
            <w:tcBorders/>
          </w:tcPr>
          <w:p>
            <w:pPr>
              <w:pStyle w:val="TableContents"/>
              <w:pBdr>
                <w:bottom w:val="single" w:sz="2" w:space="1" w:color="000000"/>
              </w:pBdr>
              <w:bidi w:val="0"/>
              <w:spacing w:before="0" w:after="20"/>
              <w:jc w:val="left"/>
              <w:rPr/>
            </w:pPr>
            <w:r>
              <w:rPr/>
              <w:t> </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3753" w:type="dxa"/>
            <w:gridSpan w:val="2"/>
            <w:tcBorders/>
            <w:vAlign w:val="center"/>
          </w:tcPr>
          <w:p>
            <w:pPr>
              <w:pStyle w:val="TableContents"/>
              <w:bidi w:val="0"/>
              <w:spacing w:before="0" w:after="283"/>
              <w:jc w:val="left"/>
              <w:rPr>
                <w:sz w:val="4"/>
                <w:szCs w:val="4"/>
              </w:rPr>
            </w:pPr>
            <w:r>
              <w:rPr>
                <w:sz w:val="4"/>
                <w:szCs w:val="4"/>
              </w:rPr>
            </w:r>
          </w:p>
        </w:tc>
        <w:tc>
          <w:tcPr>
            <w:tcW w:w="6193"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F.</w:t>
            </w:r>
          </w:p>
        </w:tc>
        <w:tc>
          <w:tcPr>
            <w:tcW w:w="127"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Vesting Start Date:</w:t>
            </w:r>
          </w:p>
        </w:tc>
        <w:tc>
          <w:tcPr>
            <w:tcW w:w="111" w:type="dxa"/>
            <w:tcBorders/>
            <w:vAlign w:val="bottom"/>
          </w:tcPr>
          <w:p>
            <w:pPr>
              <w:pStyle w:val="TableContents"/>
              <w:bidi w:val="0"/>
              <w:spacing w:before="0" w:after="283"/>
              <w:jc w:val="left"/>
              <w:rPr/>
            </w:pPr>
            <w:r>
              <w:rPr/>
              <w:t> </w:t>
            </w:r>
          </w:p>
        </w:tc>
        <w:tc>
          <w:tcPr>
            <w:tcW w:w="6082" w:type="dxa"/>
            <w:tcBorders/>
          </w:tcPr>
          <w:p>
            <w:pPr>
              <w:pStyle w:val="TableContents"/>
              <w:pBdr>
                <w:bottom w:val="single" w:sz="2" w:space="1" w:color="000000"/>
              </w:pBdr>
              <w:bidi w:val="0"/>
              <w:spacing w:before="0" w:after="20"/>
              <w:jc w:val="left"/>
              <w:rPr/>
            </w:pPr>
            <w:r>
              <w:rPr/>
              <w:t> </w:t>
            </w:r>
          </w:p>
        </w:tc>
      </w:tr>
      <w:tr>
        <w:trPr>
          <w:trHeight w:val="120" w:hRule="atLeast"/>
        </w:trPr>
        <w:tc>
          <w:tcPr>
            <w:tcW w:w="259" w:type="dxa"/>
            <w:tcBorders/>
            <w:vAlign w:val="center"/>
          </w:tcPr>
          <w:p>
            <w:pPr>
              <w:pStyle w:val="TableContents"/>
              <w:bidi w:val="0"/>
              <w:spacing w:before="0" w:after="283"/>
              <w:jc w:val="left"/>
              <w:rPr>
                <w:sz w:val="4"/>
                <w:szCs w:val="4"/>
              </w:rPr>
            </w:pPr>
            <w:r>
              <w:rPr>
                <w:sz w:val="4"/>
                <w:szCs w:val="4"/>
              </w:rPr>
            </w:r>
          </w:p>
        </w:tc>
        <w:tc>
          <w:tcPr>
            <w:tcW w:w="3753" w:type="dxa"/>
            <w:gridSpan w:val="2"/>
            <w:tcBorders/>
            <w:vAlign w:val="center"/>
          </w:tcPr>
          <w:p>
            <w:pPr>
              <w:pStyle w:val="TableContents"/>
              <w:bidi w:val="0"/>
              <w:spacing w:before="0" w:after="283"/>
              <w:jc w:val="left"/>
              <w:rPr>
                <w:sz w:val="4"/>
                <w:szCs w:val="4"/>
              </w:rPr>
            </w:pPr>
            <w:r>
              <w:rPr>
                <w:sz w:val="4"/>
                <w:szCs w:val="4"/>
              </w:rPr>
            </w:r>
          </w:p>
        </w:tc>
        <w:tc>
          <w:tcPr>
            <w:tcW w:w="6193" w:type="dxa"/>
            <w:gridSpan w:val="2"/>
            <w:tcBorders/>
            <w:vAlign w:val="center"/>
          </w:tcPr>
          <w:p>
            <w:pPr>
              <w:pStyle w:val="TableContents"/>
              <w:bidi w:val="0"/>
              <w:spacing w:before="0" w:after="283"/>
              <w:jc w:val="left"/>
              <w:rPr>
                <w:sz w:val="4"/>
                <w:szCs w:val="4"/>
              </w:rPr>
            </w:pPr>
            <w:r>
              <w:rPr>
                <w:sz w:val="4"/>
                <w:szCs w:val="4"/>
              </w:rPr>
            </w:r>
          </w:p>
        </w:tc>
      </w:tr>
      <w:tr>
        <w:trPr/>
        <w:tc>
          <w:tcPr>
            <w:tcW w:w="259" w:type="dxa"/>
            <w:tcBorders/>
          </w:tcPr>
          <w:p>
            <w:pPr>
              <w:pStyle w:val="TableContents"/>
              <w:bidi w:val="0"/>
              <w:spacing w:before="0" w:after="283"/>
              <w:jc w:val="left"/>
              <w:rPr/>
            </w:pPr>
            <w:r>
              <w:rPr/>
              <w:t>G.</w:t>
            </w:r>
          </w:p>
        </w:tc>
        <w:tc>
          <w:tcPr>
            <w:tcW w:w="127"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Vesting Schedule:</w:t>
            </w:r>
          </w:p>
        </w:tc>
        <w:tc>
          <w:tcPr>
            <w:tcW w:w="111" w:type="dxa"/>
            <w:tcBorders/>
            <w:vAlign w:val="bottom"/>
          </w:tcPr>
          <w:p>
            <w:pPr>
              <w:pStyle w:val="TableContents"/>
              <w:bidi w:val="0"/>
              <w:spacing w:before="0" w:after="283"/>
              <w:jc w:val="left"/>
              <w:rPr/>
            </w:pPr>
            <w:r>
              <w:rPr/>
              <w:t> </w:t>
            </w:r>
          </w:p>
        </w:tc>
        <w:tc>
          <w:tcPr>
            <w:tcW w:w="6082" w:type="dxa"/>
            <w:tcBorders/>
          </w:tcPr>
          <w:p>
            <w:pPr>
              <w:pStyle w:val="TableContents"/>
              <w:bidi w:val="0"/>
              <w:spacing w:before="0" w:after="283"/>
              <w:jc w:val="left"/>
              <w:rPr>
                <w:sz w:val="4"/>
                <w:szCs w:val="4"/>
              </w:rPr>
            </w:pPr>
            <w:r>
              <w:rPr>
                <w:sz w:val="4"/>
                <w:szCs w:val="4"/>
              </w:rPr>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Option shall become vested and exercisable with respect to the number of Common Shares set forth below provided that at all times the Participant is providing Continuous Service: </w:t>
      </w:r>
    </w:p>
    <w:p>
      <w:pPr>
        <w:pStyle w:val="TextBody"/>
        <w:bidi w:val="0"/>
        <w:spacing w:before="120" w:after="0"/>
        <w:jc w:val="left"/>
        <w:rPr>
          <w:rFonts w:ascii="Times New Roman" w:hAnsi="Times New Roman"/>
          <w:sz w:val="20"/>
        </w:rPr>
      </w:pPr>
      <w:r>
        <w:rPr>
          <w:rFonts w:ascii="Times New Roman" w:hAnsi="Times New Roman"/>
          <w:sz w:val="20"/>
        </w:rPr>
        <w:t xml:space="preserve">[__]. </w:t>
      </w:r>
    </w:p>
    <w:p>
      <w:pPr>
        <w:pStyle w:val="TextBody"/>
        <w:bidi w:val="0"/>
        <w:spacing w:before="120" w:after="0"/>
        <w:jc w:val="left"/>
        <w:rPr>
          <w:rFonts w:ascii="Times New Roman" w:hAnsi="Times New Roman"/>
          <w:sz w:val="20"/>
        </w:rPr>
      </w:pPr>
      <w:r>
        <w:rPr>
          <w:rFonts w:ascii="Times New Roman" w:hAnsi="Times New Roman"/>
          <w:sz w:val="20"/>
        </w:rPr>
        <w:t xml:space="preserve">[__].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the Participant acknowledge receipt of this Non-qualified Stock Option Grant Notice and agree to the terms of the Non-qualified Stock Option Agreement attached hereto and incorporated by reference herein, the Company’s Amended and Restated 2021 Equity Incentive Plan and the terms of this Option Grant as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24"/>
        <w:gridCol w:w="132"/>
        <w:gridCol w:w="3026"/>
      </w:tblGrid>
      <w:tr>
        <w:trPr/>
        <w:tc>
          <w:tcPr>
            <w:tcW w:w="9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Wave Life Sciences, Inc.</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Participant</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NON-QUALIFIED STOCK OPTION AGREEMENT –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INCORPORATED TERMS AND CONDITIONS </w:t>
      </w:r>
    </w:p>
    <w:p>
      <w:pPr>
        <w:pStyle w:val="TextBody"/>
        <w:bidi w:val="0"/>
        <w:spacing w:before="240" w:after="0"/>
        <w:jc w:val="left"/>
        <w:rPr>
          <w:rFonts w:ascii="Times New Roman" w:hAnsi="Times New Roman"/>
          <w:sz w:val="20"/>
        </w:rPr>
      </w:pPr>
      <w:r>
        <w:rPr>
          <w:rFonts w:ascii="Times New Roman" w:hAnsi="Times New Roman"/>
          <w:sz w:val="20"/>
        </w:rPr>
        <w:t>This Non-qualified Stock Option Agreement (this “</w:t>
      </w:r>
      <w:r>
        <w:rPr>
          <w:rFonts w:ascii="Times New Roman" w:hAnsi="Times New Roman"/>
          <w:sz w:val="20"/>
          <w:u w:val="single"/>
        </w:rPr>
        <w:t>Agreement</w:t>
      </w:r>
      <w:r>
        <w:rPr>
          <w:rFonts w:ascii="Times New Roman" w:hAnsi="Times New Roman"/>
          <w:sz w:val="20"/>
        </w:rPr>
        <w:t>”) is made and entered into as of the Grant Date by and between Wave Life Sciences, Inc., a company incorporated in Delaware (the “</w:t>
      </w:r>
      <w:r>
        <w:rPr>
          <w:rFonts w:ascii="Times New Roman" w:hAnsi="Times New Roman"/>
          <w:sz w:val="20"/>
          <w:u w:val="single"/>
        </w:rPr>
        <w:t>Company</w:t>
      </w:r>
      <w:r>
        <w:rPr>
          <w:rFonts w:ascii="Times New Roman" w:hAnsi="Times New Roman"/>
          <w:sz w:val="20"/>
        </w:rPr>
        <w:t>”), and the “</w:t>
      </w:r>
      <w:r>
        <w:rPr>
          <w:rFonts w:ascii="Times New Roman" w:hAnsi="Times New Roman"/>
          <w:sz w:val="20"/>
          <w:u w:val="single"/>
        </w:rPr>
        <w:t>Participant</w:t>
      </w:r>
      <w:r>
        <w:rPr>
          <w:rFonts w:ascii="Times New Roman" w:hAnsi="Times New Roman"/>
          <w:sz w:val="20"/>
        </w:rPr>
        <w:t xml:space="preserve">” whose name appears on the Non-qualified Stock Option Grant Notice.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 of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Grant; Type of Option</w:t>
      </w:r>
      <w:r>
        <w:rPr>
          <w:rFonts w:ascii="Times New Roman" w:hAnsi="Times New Roman"/>
          <w:sz w:val="20"/>
        </w:rPr>
        <w:t>. The Company hereby grants to the Participant an option (the “</w:t>
      </w:r>
      <w:r>
        <w:rPr>
          <w:rFonts w:ascii="Times New Roman" w:hAnsi="Times New Roman"/>
          <w:sz w:val="20"/>
          <w:u w:val="single"/>
        </w:rPr>
        <w:t>Option</w:t>
      </w:r>
      <w:r>
        <w:rPr>
          <w:rFonts w:ascii="Times New Roman" w:hAnsi="Times New Roman"/>
          <w:sz w:val="20"/>
        </w:rPr>
        <w:t>”) to purchase (subscribe for) the total number of Common Shares of the Company equal to the number of Common Shares set forth on the Non-qualified Stock Option Grant Notice, at the Exercise Price per Common Share set forth on the Non-qualified Stock Option Grant Notice. The Option is being granted pursuant to the terms of the Wave Life Sciences, Inc. Amended and Restated 2021 Equity Incentive Plan (the “</w:t>
      </w:r>
      <w:r>
        <w:rPr>
          <w:rFonts w:ascii="Times New Roman" w:hAnsi="Times New Roman"/>
          <w:sz w:val="20"/>
          <w:u w:val="single"/>
        </w:rPr>
        <w:t>Plan</w:t>
      </w:r>
      <w:r>
        <w:rPr>
          <w:rFonts w:ascii="Times New Roman" w:hAnsi="Times New Roman"/>
          <w:sz w:val="20"/>
        </w:rPr>
        <w:t xml:space="preserve">”). The Option is intended to be a Non-qualified Stock Option and not an Incentive Stock Option.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Consideration; Subject to Plan</w:t>
      </w:r>
      <w:r>
        <w:rPr>
          <w:rFonts w:ascii="Times New Roman" w:hAnsi="Times New Roman"/>
          <w:sz w:val="20"/>
        </w:rPr>
        <w:t xml:space="preserve">. The grant of the Option is made in consideration of the services to be rendered by the Participant to the Company and is subject to the terms and conditions of the Plan. Capitalized terms used but not defined herein will have the meaning ascribed to them in the Plan.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Exercise Period; Vesting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Vesting Schedule</w:t>
      </w:r>
      <w:r>
        <w:rPr>
          <w:rFonts w:ascii="Times New Roman" w:hAnsi="Times New Roman"/>
          <w:sz w:val="20"/>
        </w:rPr>
        <w:t xml:space="preserve">. The Option will become vested and exercisable as set forth on the Non-qualified Stock Option Grant Notice.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Unvested Option</w:t>
      </w:r>
      <w:r>
        <w:rPr>
          <w:rFonts w:ascii="Times New Roman" w:hAnsi="Times New Roman"/>
          <w:sz w:val="20"/>
        </w:rPr>
        <w:t xml:space="preserve">. The unvested portion of the Option will not be exercisable on or after the Participant’s termination of Continuous Service.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Expiration</w:t>
      </w:r>
      <w:r>
        <w:rPr>
          <w:rFonts w:ascii="Times New Roman" w:hAnsi="Times New Roman"/>
          <w:sz w:val="20"/>
        </w:rPr>
        <w:t xml:space="preserve">. The Option will expire on the Expiration Date set forth on the Non-qualified Stock Option Grant Notice, or earlier as provided in this Agreement or the Plan.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 of Continuous Service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Termination for Reasons Other Than Cause, Death, Disability</w:t>
      </w:r>
      <w:r>
        <w:rPr>
          <w:rFonts w:ascii="Times New Roman" w:hAnsi="Times New Roman"/>
          <w:sz w:val="20"/>
        </w:rPr>
        <w:t xml:space="preserve">. If the Participant’s Continuous Service is terminated for any reason other than Cause, death or Disability, the Participant may exercise the vested portion of the Option, but only within such period of time ending on the earlier of: (a) the date three months following the termination of the Participant’s Continuous Service; or (b)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Termination for Cause</w:t>
      </w:r>
      <w:r>
        <w:rPr>
          <w:rFonts w:ascii="Times New Roman" w:hAnsi="Times New Roman"/>
          <w:sz w:val="20"/>
        </w:rPr>
        <w:t xml:space="preserve">. If the Participant’s Continuous Service is terminated for Cause, the Option (whether vested or unvested) shall immediately terminate and cease to be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Termination Due to Disability</w:t>
      </w:r>
      <w:r>
        <w:rPr>
          <w:rFonts w:ascii="Times New Roman" w:hAnsi="Times New Roman"/>
          <w:sz w:val="20"/>
        </w:rPr>
        <w:t xml:space="preserve">. If the Participant’s Continuous Service terminates as a result of the Participant’s Disability, the Participant may exercise the vested portion of the Option, but only within such period of time ending on the earlier of: (a) the date 12 months following the Participant’s termination of Continuous Service; or (b)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Termination Due to Death</w:t>
      </w:r>
      <w:r>
        <w:rPr>
          <w:rFonts w:ascii="Times New Roman" w:hAnsi="Times New Roman"/>
          <w:sz w:val="20"/>
        </w:rPr>
        <w:t xml:space="preserve">. If the Participant’s Continuous Service terminates as a result of the Participant’s death, or the Participant dies within a period following termination of the Participant’s Continuous Service during which the vested portion of the Option remains exercisable, the vested portion of the Option may be exercised by the Participant’s estate, by a person who acquired the right to exercise the Option by bequest or inheritance or by the person designated to exercise the Option upon the Participant’s death, but only within the time period ending on the earlier of: (a) the date 12 months following the Participant’s termination of Continuous Service; or (b) the Expiration Date.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Manner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Election to Exercise</w:t>
      </w:r>
      <w:r>
        <w:rPr>
          <w:rFonts w:ascii="Times New Roman" w:hAnsi="Times New Roman"/>
          <w:sz w:val="20"/>
        </w:rPr>
        <w:t xml:space="preserve">. To exercise the Option, the Participant (or in the case of exercise after the Participant’s death or incapacity, the Participant’s executor, administrator, heir or legatee, as the case may be) must deliver to the Company a notice of intent to exercise in the manner designated by the Board or the Committee. If someone other than the Participant exercises the Option, then such person must submit documentation reasonably acceptable to the Company verifying that such person has the legal right to exercise the Option.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Payment of Exercise Price</w:t>
      </w:r>
      <w:r>
        <w:rPr>
          <w:rFonts w:ascii="Times New Roman" w:hAnsi="Times New Roman"/>
          <w:sz w:val="20"/>
        </w:rPr>
        <w:t xml:space="preserve">. The entire Exercise Price of the Option shall be payable in full at the time of exercise in any form of legal consideration allowed pursuant to Section 6.4 of the Plan.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Withholding</w:t>
      </w:r>
      <w:r>
        <w:rPr>
          <w:rFonts w:ascii="Times New Roman" w:hAnsi="Times New Roman"/>
          <w:sz w:val="20"/>
        </w:rPr>
        <w:t xml:space="preserve">. Prior to the issuance of shares upon the exercise of the Option, the Participant must make arrangements satisfactory to the Company to pay or provide for any applicable foreign, federal, state and local withholding obligations of the Company or the Participant’s employer or former employer (including income tax and National Insurance Contributions due under the United Kingdom’s Pay As You Earn withholding system). The Participant may satisfy any foreign, federal, state or local tax and social security contributions (including National Insurance Contributions) withholding obligation relating to the exercise of the Option by any of the following means: </w:t>
      </w:r>
    </w:p>
    <w:p>
      <w:pPr>
        <w:pStyle w:val="TextBody"/>
        <w:bidi w:val="0"/>
        <w:spacing w:before="120" w:after="0"/>
        <w:jc w:val="left"/>
        <w:rPr>
          <w:rFonts w:ascii="Times New Roman" w:hAnsi="Times New Roman"/>
          <w:sz w:val="20"/>
        </w:rPr>
      </w:pPr>
      <w:r>
        <w:rPr>
          <w:rFonts w:ascii="Times New Roman" w:hAnsi="Times New Roman"/>
          <w:sz w:val="20"/>
        </w:rPr>
        <w:t xml:space="preserve">(a) tendering a cash payment; or </w:t>
      </w:r>
    </w:p>
    <w:p>
      <w:pPr>
        <w:pStyle w:val="TextBody"/>
        <w:bidi w:val="0"/>
        <w:spacing w:before="120" w:after="0"/>
        <w:jc w:val="left"/>
        <w:rPr>
          <w:rFonts w:ascii="Times New Roman" w:hAnsi="Times New Roman"/>
          <w:sz w:val="20"/>
        </w:rPr>
      </w:pPr>
      <w:r>
        <w:rPr>
          <w:rFonts w:ascii="Times New Roman" w:hAnsi="Times New Roman"/>
          <w:sz w:val="20"/>
        </w:rPr>
        <w:t xml:space="preserve">(b) authorizing the Company to withhold Common Shares from the Common Shares otherwise issuable to the Participant as a result of the exercise of the Option; </w:t>
      </w:r>
      <w:r>
        <w:rPr>
          <w:rFonts w:ascii="Times New Roman" w:hAnsi="Times New Roman"/>
          <w:i/>
          <w:sz w:val="20"/>
        </w:rPr>
        <w:t>provided, however</w:t>
      </w:r>
      <w:r>
        <w:rPr>
          <w:rFonts w:ascii="Times New Roman" w:hAnsi="Times New Roman"/>
          <w:sz w:val="20"/>
        </w:rPr>
        <w:t xml:space="preserve">, that no Common Shares are withheld with a value exceeding the maximum amount of tax required to be withheld by Applicable Laws; or </w:t>
      </w:r>
    </w:p>
    <w:p>
      <w:pPr>
        <w:pStyle w:val="TextBody"/>
        <w:bidi w:val="0"/>
        <w:spacing w:before="120" w:after="0"/>
        <w:jc w:val="left"/>
        <w:rPr>
          <w:rFonts w:ascii="Times New Roman" w:hAnsi="Times New Roman"/>
          <w:sz w:val="20"/>
        </w:rPr>
      </w:pPr>
      <w:r>
        <w:rPr>
          <w:rFonts w:ascii="Times New Roman" w:hAnsi="Times New Roman"/>
          <w:sz w:val="20"/>
        </w:rPr>
        <w:t xml:space="preserve">(c) authorizing the Company to procure the sale of sufficient Common Shares issued to the Participant as a result of the exercise of the Option to meet the withholding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the right to withhold from any compensation paid to a Participant.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Issuance of Shares</w:t>
      </w:r>
      <w:r>
        <w:rPr>
          <w:rFonts w:ascii="Times New Roman" w:hAnsi="Times New Roman"/>
          <w:sz w:val="20"/>
        </w:rPr>
        <w:t xml:space="preserve">. Provided that the exercise notice and payment are in compliance with the Plan and in form and substance satisfactory to the Company, the Company shall issue the Common Shares registered in the name of the Participant, the Participant’s authorized assignee, or the Participant’s legal representative, which shall be evidenced by share certificates representing the shares with the appropriate legends affixed thereto, appropriate entry on the books of the Company or of a duly authorized transfer agent, or other appropriate means as determined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No Right to Continued Employment; No Rights as Stockholder</w:t>
      </w:r>
      <w:r>
        <w:rPr>
          <w:rFonts w:ascii="Times New Roman" w:hAnsi="Times New Roman"/>
          <w:sz w:val="20"/>
        </w:rPr>
        <w:t xml:space="preserve">. Neither the Plan nor this Agreement shall confer upon the Participant any right to be retained in any position, as an Employee, Consultant or Director of the Company or its Affiliates. Further, nothing in the Plan or this Agreement shall be construed to limit the discretion of the Company to terminate the Participant’s Continuous Service at any time, with or without Cause. The Participant shall not have any rights as a stockholder with respect to any Common Shares subject to the Option prior to the date of exercise of the Option. In addition, neither the Plan nor this Agreement shall form part of any contract of employment between the Company or its Affiliates and the Participant. Neither the Plan nor this Agreement entitles the Participant to the exercise of any discretion in his or her favour. The benefit to the Participant of participation in the Plan (including, in particular but not by way of limitation, any Award held by him or her) shall not form any part of his or her remuneration or count as his or her remuneration for any purpose and shall not be pensionable. If the Participant ceases to be an Employee for any reason, he or she shall not be entitled to compensation for the loss or diminution in value of any right or benefit or prospective right or benefit under the Plan (including, in particular but not by way of limitation, any Award held by him or her which lapse by reason of his or her ceasing to be in employment with the Company or its Affiliates) whether by way of damages for unfair dismissal, wrongful dismissal, breach of contract or otherwise.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Transferability</w:t>
      </w:r>
      <w:r>
        <w:rPr>
          <w:rFonts w:ascii="Times New Roman" w:hAnsi="Times New Roman"/>
          <w:sz w:val="20"/>
        </w:rPr>
        <w:t xml:space="preserve">. The Option is not transferable by the Participant other than to a designated beneficiary upon the Participant’s death or by will or the laws of descent and distribution or pursuant to a qualified domestic relations order as defined by Applicable Laws, and otherwise shall be exercisable during the Participant’s lifetime only by him or her unless the Board allows transfer to a Permitted Transferee. No assignment or transfer of the Option,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Option will terminate and become of no further effect.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Corporate Transactions and Adjustments</w:t>
      </w:r>
      <w:r>
        <w:rPr>
          <w:rFonts w:ascii="Times New Roman" w:hAnsi="Times New Roman"/>
          <w:sz w:val="20"/>
        </w:rPr>
        <w:t xml:space="preserve">. The Common Shares subject to the Option may be adjusted or terminated in any manner as contemplated by Sections 11 and 12 of the Plan.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Tax Liability and Withholding</w:t>
      </w:r>
      <w:r>
        <w:rPr>
          <w:rFonts w:ascii="Times New Roman" w:hAnsi="Times New Roman"/>
          <w:sz w:val="20"/>
        </w:rPr>
        <w:t>. Notwithstanding any action the Company takes with respect to any or all income tax, social insurance, social security contributions (including National Insurance Contributions), payroll tax, or other tax-related withholding (“</w:t>
      </w:r>
      <w:r>
        <w:rPr>
          <w:rFonts w:ascii="Times New Roman" w:hAnsi="Times New Roman"/>
          <w:sz w:val="20"/>
          <w:u w:val="single"/>
        </w:rPr>
        <w:t>Tax-Related Items</w:t>
      </w:r>
      <w:r>
        <w:rPr>
          <w:rFonts w:ascii="Times New Roman" w:hAnsi="Times New Roman"/>
          <w:sz w:val="20"/>
        </w:rPr>
        <w:t xml:space="preserve">”), the ultimate liability for all Tax-Related Items is and remains the Participant’s responsibility and the Company (a) makes no representation or undertakings regarding the treatment of any Tax-Related Items in connection with the grant, vesting, or exercise of the Option or the subsequent sale of any shares acquired on exercise; and (b) does not commit to structure the Option to reduce or eliminate the Participant’s liability for Tax-Related Items.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at its discretion require the Participant to enter into an election under Chapter 2 of Part 7 of the Income Tax (Earnings and Pensions) Act 2003 of the United Kingdom and determine that the Option may not Vest or be exercised unless the Participant has entered into such an election beforehand.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Compliance with Law</w:t>
      </w:r>
      <w:r>
        <w:rPr>
          <w:rFonts w:ascii="Times New Roman" w:hAnsi="Times New Roman"/>
          <w:sz w:val="20"/>
        </w:rPr>
        <w:t xml:space="preserve">. The exercise of the Option and the issuance and transfer of Common Shares shall be subject to compliance by the Company and the Participant with all Applicable Laws. No Common Shares shall be issued pursuant to this Option unless and until any then Applicable Laws have been fully complied with to the satisfaction of the Company and its counsel. The Participant understands that the Company is under no obligation to register the Common Shares with the U.S. Securities and Exchange Commission, any state securities commission or any stock exchange or under any other Applicable Laws to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Governing Law</w:t>
      </w:r>
      <w:r>
        <w:rPr>
          <w:rFonts w:ascii="Times New Roman" w:hAnsi="Times New Roman"/>
          <w:sz w:val="20"/>
        </w:rPr>
        <w:t xml:space="preserve">. This Agreement will be construed and interpreted in accordance with the laws of the State of Delaware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Interpretation</w:t>
      </w:r>
      <w:r>
        <w:rPr>
          <w:rFonts w:ascii="Times New Roman" w:hAnsi="Times New Roman"/>
          <w:sz w:val="20"/>
        </w:rPr>
        <w:t xml:space="preserve">. Any dispute regarding the interpretation of this Agreement shall be submitted by the Participant or the Company to the Committee for review. The resolution of such dispute by the Committee shall be final and binding on the Participant and the Company.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Options Subject to Plan</w:t>
      </w:r>
      <w:r>
        <w:rPr>
          <w:rFonts w:ascii="Times New Roman" w:hAnsi="Times New Roman"/>
          <w:sz w:val="20"/>
        </w:rPr>
        <w:t xml:space="preserve">.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w:t>
      </w:r>
    </w:p>
    <w:p>
      <w:pPr>
        <w:pStyle w:val="TextBody"/>
        <w:bidi w:val="0"/>
        <w:spacing w:before="12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Successors and Assigns</w:t>
      </w:r>
      <w:r>
        <w:rPr>
          <w:rFonts w:ascii="Times New Roman" w:hAnsi="Times New Roman"/>
          <w:sz w:val="20"/>
        </w:rPr>
        <w:t xml:space="preserve">. The Company may assign any of its rights under this Agreement.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this Agreement may be transferred by will or the laws of descent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Severability</w:t>
      </w:r>
      <w:r>
        <w:rPr>
          <w:rFonts w:ascii="Times New Roman" w:hAnsi="Times New Roman"/>
          <w:sz w:val="20"/>
        </w:rPr>
        <w:t xml:space="preserve">.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Discretionary Nature of Plan</w:t>
      </w:r>
      <w:r>
        <w:rPr>
          <w:rFonts w:ascii="Times New Roman" w:hAnsi="Times New Roman"/>
          <w:sz w:val="20"/>
        </w:rPr>
        <w:t xml:space="preserve">. The Plan is discretionary and may be amended, cancelled or terminated by the Company at any time, in its discretion. The grant of the Option in this Agreement does not create any contractual right or other right to receive any Options or other Awards in the future. Future Awards, if any, will be at the sole discretion of the Company. Any amendment, modification, or termination of the Plan shall not constitute a change or impairment of the terms and conditions of the Participant’s employment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Amendment</w:t>
      </w:r>
      <w:r>
        <w:rPr>
          <w:rFonts w:ascii="Times New Roman" w:hAnsi="Times New Roman"/>
          <w:sz w:val="20"/>
        </w:rPr>
        <w:t xml:space="preserve">. The Committee has the right to amend, alter, suspend, discontinue or cancel the Option, prospectively or retroactively; </w:t>
      </w:r>
      <w:r>
        <w:rPr>
          <w:rFonts w:ascii="Times New Roman" w:hAnsi="Times New Roman"/>
          <w:i/>
          <w:sz w:val="20"/>
        </w:rPr>
        <w:t>provided, that</w:t>
      </w:r>
      <w:r>
        <w:rPr>
          <w:rFonts w:ascii="Times New Roman" w:hAnsi="Times New Roman"/>
          <w:sz w:val="20"/>
        </w:rPr>
        <w:t xml:space="preserve">, no such amendment shall adversely affect the Participant’s material rights under this Agreement unless (a) the Company requests the consent of the Participant; and (b) the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Impact on Other Benefits</w:t>
      </w:r>
      <w:r>
        <w:rPr>
          <w:rFonts w:ascii="Times New Roman" w:hAnsi="Times New Roman"/>
          <w:sz w:val="20"/>
        </w:rPr>
        <w:t xml:space="preserve">. The value of the Participant’s Option is not part of his or her normal or expected compensation for purposes of calculating any severance, retirement, welfare, insurance or similar employee benefit.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Data Privacy</w:t>
      </w:r>
      <w:r>
        <w:rPr>
          <w:rFonts w:ascii="Times New Roman" w:hAnsi="Times New Roman"/>
          <w:sz w:val="20"/>
        </w:rPr>
        <w:t xml:space="preserve">.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and (ii) authorizes the Company and each Affiliate to store and transmit such information in electronic form for the purposes set forth in this Agreement. For the purposes of the Plan, the Wave Life Sciences UK Limited Employee Privacy Notice (“Privacy Notice”) informs the Participant whether their personal data is processed under the EU’s General Data Protection Regulation (2016/679) (or any successor or implementing laws) (the “GDPR”) and if so, the basis for processing such data. The Participant understands that, in accordance with the Privacy Notice, their personal data may be transferred and/or processed for any purpose relating to the Plan by the Company, its Affiliates, and those administering or providing services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Acceptance</w:t>
      </w:r>
      <w:r>
        <w:rPr>
          <w:rFonts w:ascii="Times New Roman" w:hAnsi="Times New Roman"/>
          <w:sz w:val="20"/>
        </w:rPr>
        <w:t xml:space="preserve">. The Participant hereby acknowledges receipt of a copy of the Plan and this Agreement. The Participant has read and understands the terms and provisions thereof, and accepts the Option subject to all of the terms and conditions of the Plan and this Agreement. The Participant acknowledges that there may be adverse tax consequences upon exercise of the Option or disposition of the underlying shares and that the Participant should consult a tax advisor prior to such exercise or disposition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right"/>
        <w:rPr>
          <w:rFonts w:ascii="Times New Roman" w:hAnsi="Times New Roman"/>
          <w:b/>
          <w:sz w:val="20"/>
        </w:rPr>
      </w:pPr>
      <w:bookmarkStart w:id="13" w:name="d367205dex9972.htm"/>
      <w:bookmarkStart w:id="14" w:name="ksd367205dex9972"/>
      <w:bookmarkEnd w:id="13"/>
      <w:bookmarkEnd w:id="14"/>
      <w:r>
        <w:rPr>
          <w:rFonts w:ascii="Times New Roman" w:hAnsi="Times New Roman"/>
          <w:b/>
          <w:sz w:val="20"/>
        </w:rPr>
        <w:t xml:space="preserve">Exhibit 99.7.2 </w:t>
      </w:r>
      <w:r>
        <w:br w:type="page"/>
      </w:r>
    </w:p>
    <w:p>
      <w:pPr>
        <w:pStyle w:val="TextBody"/>
        <w:bidi w:val="0"/>
        <w:spacing w:before="240" w:after="0"/>
        <w:jc w:val="right"/>
        <w:rPr>
          <w:rFonts w:ascii="Times New Roman" w:hAnsi="Times New Roman"/>
          <w:b/>
          <w:sz w:val="20"/>
          <w:u w:val="single"/>
        </w:rPr>
      </w:pPr>
      <w:r>
        <w:rPr>
          <w:rFonts w:ascii="Times New Roman" w:hAnsi="Times New Roman"/>
          <w:b/>
          <w:sz w:val="20"/>
          <w:u w:val="single"/>
        </w:rPr>
        <w:t xml:space="preserve">Grant. No. RSU-   </w:t>
      </w:r>
    </w:p>
    <w:p>
      <w:pPr>
        <w:pStyle w:val="TextBody"/>
        <w:bidi w:val="0"/>
        <w:spacing w:before="480" w:after="0"/>
        <w:jc w:val="center"/>
        <w:rPr>
          <w:rFonts w:ascii="Times New Roman" w:hAnsi="Times New Roman"/>
          <w:b/>
          <w:sz w:val="20"/>
        </w:rPr>
      </w:pPr>
      <w:r>
        <w:rPr>
          <w:rFonts w:ascii="Times New Roman" w:hAnsi="Times New Roman"/>
          <w:b/>
          <w:sz w:val="20"/>
        </w:rPr>
        <w:t xml:space="preserve">WAVE LIFE SCIENCES,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2021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Award Grant Notice for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Unit Agreement (for UK Participants)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
        <w:gridCol w:w="132"/>
        <w:gridCol w:w="3726"/>
        <w:gridCol w:w="132"/>
        <w:gridCol w:w="5945"/>
      </w:tblGrid>
      <w:tr>
        <w:trPr/>
        <w:tc>
          <w:tcPr>
            <w:tcW w:w="27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5945" w:type="dxa"/>
            <w:tcBorders/>
            <w:vAlign w:val="center"/>
          </w:tcPr>
          <w:p>
            <w:pPr>
              <w:pStyle w:val="TableContents"/>
              <w:bidi w:val="0"/>
              <w:spacing w:before="0" w:after="283"/>
              <w:jc w:val="left"/>
              <w:rPr>
                <w:sz w:val="4"/>
                <w:szCs w:val="4"/>
              </w:rPr>
            </w:pPr>
            <w:r>
              <w:rPr>
                <w:sz w:val="4"/>
                <w:szCs w:val="4"/>
              </w:rPr>
            </w:r>
          </w:p>
        </w:tc>
      </w:tr>
      <w:tr>
        <w:trPr/>
        <w:tc>
          <w:tcPr>
            <w:tcW w:w="270" w:type="dxa"/>
            <w:tcBorders/>
          </w:tcPr>
          <w:p>
            <w:pPr>
              <w:pStyle w:val="TableContents"/>
              <w:bidi w:val="0"/>
              <w:spacing w:before="0" w:after="283"/>
              <w:jc w:val="left"/>
              <w:rPr/>
            </w:pPr>
            <w:r>
              <w:rPr/>
              <w:t>A.</w:t>
            </w:r>
          </w:p>
        </w:tc>
        <w:tc>
          <w:tcPr>
            <w:tcW w:w="132"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Name of Participant:</w:t>
            </w:r>
          </w:p>
        </w:tc>
        <w:tc>
          <w:tcPr>
            <w:tcW w:w="132" w:type="dxa"/>
            <w:tcBorders/>
            <w:vAlign w:val="bottom"/>
          </w:tcPr>
          <w:p>
            <w:pPr>
              <w:pStyle w:val="TableContents"/>
              <w:bidi w:val="0"/>
              <w:spacing w:before="0" w:after="283"/>
              <w:jc w:val="left"/>
              <w:rPr/>
            </w:pPr>
            <w:r>
              <w:rPr/>
              <w:t>  </w:t>
            </w:r>
          </w:p>
        </w:tc>
        <w:tc>
          <w:tcPr>
            <w:tcW w:w="5945" w:type="dxa"/>
            <w:tcBorders/>
          </w:tcPr>
          <w:p>
            <w:pPr>
              <w:pStyle w:val="TableContents"/>
              <w:pBdr>
                <w:bottom w:val="single" w:sz="2" w:space="1" w:color="000000"/>
              </w:pBdr>
              <w:bidi w:val="0"/>
              <w:spacing w:before="0" w:after="20"/>
              <w:jc w:val="left"/>
              <w:rPr/>
            </w:pPr>
            <w:r>
              <w:rPr/>
              <w:t> </w:t>
            </w:r>
          </w:p>
        </w:tc>
      </w:tr>
      <w:tr>
        <w:trPr>
          <w:trHeight w:val="120" w:hRule="atLeast"/>
        </w:trPr>
        <w:tc>
          <w:tcPr>
            <w:tcW w:w="270" w:type="dxa"/>
            <w:tcBorders/>
            <w:vAlign w:val="center"/>
          </w:tcPr>
          <w:p>
            <w:pPr>
              <w:pStyle w:val="TableContents"/>
              <w:bidi w:val="0"/>
              <w:spacing w:before="0" w:after="283"/>
              <w:jc w:val="left"/>
              <w:rPr>
                <w:sz w:val="4"/>
                <w:szCs w:val="4"/>
              </w:rPr>
            </w:pPr>
            <w:r>
              <w:rPr>
                <w:sz w:val="4"/>
                <w:szCs w:val="4"/>
              </w:rPr>
            </w:r>
          </w:p>
        </w:tc>
        <w:tc>
          <w:tcPr>
            <w:tcW w:w="3858" w:type="dxa"/>
            <w:gridSpan w:val="2"/>
            <w:tcBorders/>
            <w:vAlign w:val="center"/>
          </w:tcPr>
          <w:p>
            <w:pPr>
              <w:pStyle w:val="TableContents"/>
              <w:bidi w:val="0"/>
              <w:spacing w:before="0" w:after="283"/>
              <w:jc w:val="left"/>
              <w:rPr>
                <w:sz w:val="4"/>
                <w:szCs w:val="4"/>
              </w:rPr>
            </w:pPr>
            <w:r>
              <w:rPr>
                <w:sz w:val="4"/>
                <w:szCs w:val="4"/>
              </w:rPr>
            </w:r>
          </w:p>
        </w:tc>
        <w:tc>
          <w:tcPr>
            <w:tcW w:w="6077" w:type="dxa"/>
            <w:gridSpan w:val="2"/>
            <w:tcBorders/>
            <w:vAlign w:val="center"/>
          </w:tcPr>
          <w:p>
            <w:pPr>
              <w:pStyle w:val="TableContents"/>
              <w:bidi w:val="0"/>
              <w:spacing w:before="0" w:after="283"/>
              <w:jc w:val="left"/>
              <w:rPr>
                <w:sz w:val="4"/>
                <w:szCs w:val="4"/>
              </w:rPr>
            </w:pPr>
            <w:r>
              <w:rPr>
                <w:sz w:val="4"/>
                <w:szCs w:val="4"/>
              </w:rPr>
            </w:r>
          </w:p>
        </w:tc>
      </w:tr>
      <w:tr>
        <w:trPr/>
        <w:tc>
          <w:tcPr>
            <w:tcW w:w="270" w:type="dxa"/>
            <w:tcBorders/>
          </w:tcPr>
          <w:p>
            <w:pPr>
              <w:pStyle w:val="TableContents"/>
              <w:bidi w:val="0"/>
              <w:spacing w:before="0" w:after="283"/>
              <w:jc w:val="left"/>
              <w:rPr/>
            </w:pPr>
            <w:r>
              <w:rPr/>
              <w:t>B.</w:t>
            </w:r>
          </w:p>
        </w:tc>
        <w:tc>
          <w:tcPr>
            <w:tcW w:w="132"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Grant Date:</w:t>
            </w:r>
          </w:p>
        </w:tc>
        <w:tc>
          <w:tcPr>
            <w:tcW w:w="132" w:type="dxa"/>
            <w:tcBorders/>
            <w:vAlign w:val="bottom"/>
          </w:tcPr>
          <w:p>
            <w:pPr>
              <w:pStyle w:val="TableContents"/>
              <w:bidi w:val="0"/>
              <w:spacing w:before="0" w:after="283"/>
              <w:jc w:val="left"/>
              <w:rPr/>
            </w:pPr>
            <w:r>
              <w:rPr/>
              <w:t>  </w:t>
            </w:r>
          </w:p>
        </w:tc>
        <w:tc>
          <w:tcPr>
            <w:tcW w:w="5945" w:type="dxa"/>
            <w:tcBorders/>
          </w:tcPr>
          <w:p>
            <w:pPr>
              <w:pStyle w:val="TableContents"/>
              <w:pBdr>
                <w:bottom w:val="single" w:sz="2" w:space="1" w:color="000000"/>
              </w:pBdr>
              <w:bidi w:val="0"/>
              <w:spacing w:before="0" w:after="20"/>
              <w:jc w:val="left"/>
              <w:rPr/>
            </w:pPr>
            <w:r>
              <w:rPr/>
              <w:t> </w:t>
            </w:r>
          </w:p>
        </w:tc>
      </w:tr>
      <w:tr>
        <w:trPr>
          <w:trHeight w:val="120" w:hRule="atLeast"/>
        </w:trPr>
        <w:tc>
          <w:tcPr>
            <w:tcW w:w="270" w:type="dxa"/>
            <w:tcBorders/>
            <w:vAlign w:val="center"/>
          </w:tcPr>
          <w:p>
            <w:pPr>
              <w:pStyle w:val="TableContents"/>
              <w:bidi w:val="0"/>
              <w:spacing w:before="0" w:after="283"/>
              <w:jc w:val="left"/>
              <w:rPr>
                <w:sz w:val="4"/>
                <w:szCs w:val="4"/>
              </w:rPr>
            </w:pPr>
            <w:r>
              <w:rPr>
                <w:sz w:val="4"/>
                <w:szCs w:val="4"/>
              </w:rPr>
            </w:r>
          </w:p>
        </w:tc>
        <w:tc>
          <w:tcPr>
            <w:tcW w:w="3858" w:type="dxa"/>
            <w:gridSpan w:val="2"/>
            <w:tcBorders/>
            <w:vAlign w:val="center"/>
          </w:tcPr>
          <w:p>
            <w:pPr>
              <w:pStyle w:val="TableContents"/>
              <w:bidi w:val="0"/>
              <w:spacing w:before="0" w:after="283"/>
              <w:jc w:val="left"/>
              <w:rPr>
                <w:sz w:val="4"/>
                <w:szCs w:val="4"/>
              </w:rPr>
            </w:pPr>
            <w:r>
              <w:rPr>
                <w:sz w:val="4"/>
                <w:szCs w:val="4"/>
              </w:rPr>
            </w:r>
          </w:p>
        </w:tc>
        <w:tc>
          <w:tcPr>
            <w:tcW w:w="6077" w:type="dxa"/>
            <w:gridSpan w:val="2"/>
            <w:tcBorders/>
            <w:vAlign w:val="center"/>
          </w:tcPr>
          <w:p>
            <w:pPr>
              <w:pStyle w:val="TableContents"/>
              <w:bidi w:val="0"/>
              <w:spacing w:before="0" w:after="283"/>
              <w:jc w:val="left"/>
              <w:rPr>
                <w:sz w:val="4"/>
                <w:szCs w:val="4"/>
              </w:rPr>
            </w:pPr>
            <w:r>
              <w:rPr>
                <w:sz w:val="4"/>
                <w:szCs w:val="4"/>
              </w:rPr>
            </w:r>
          </w:p>
        </w:tc>
      </w:tr>
      <w:tr>
        <w:trPr/>
        <w:tc>
          <w:tcPr>
            <w:tcW w:w="270" w:type="dxa"/>
            <w:tcBorders/>
          </w:tcPr>
          <w:p>
            <w:pPr>
              <w:pStyle w:val="TableContents"/>
              <w:bidi w:val="0"/>
              <w:spacing w:before="0" w:after="283"/>
              <w:jc w:val="left"/>
              <w:rPr/>
            </w:pPr>
            <w:r>
              <w:rPr/>
              <w:t>C.</w:t>
            </w:r>
          </w:p>
        </w:tc>
        <w:tc>
          <w:tcPr>
            <w:tcW w:w="132"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Maximum Number of Shares Underlying Restricted Stock Unit Award:</w:t>
            </w:r>
          </w:p>
        </w:tc>
        <w:tc>
          <w:tcPr>
            <w:tcW w:w="132" w:type="dxa"/>
            <w:tcBorders/>
            <w:vAlign w:val="bottom"/>
          </w:tcPr>
          <w:p>
            <w:pPr>
              <w:pStyle w:val="TableContents"/>
              <w:bidi w:val="0"/>
              <w:spacing w:before="0" w:after="283"/>
              <w:jc w:val="left"/>
              <w:rPr/>
            </w:pPr>
            <w:r>
              <w:rPr/>
              <w:t>  </w:t>
            </w:r>
          </w:p>
        </w:tc>
        <w:tc>
          <w:tcPr>
            <w:tcW w:w="5945" w:type="dxa"/>
            <w:tcBorders/>
            <w:vAlign w:val="bottom"/>
          </w:tcPr>
          <w:p>
            <w:pPr>
              <w:pStyle w:val="TableContents"/>
              <w:pBdr>
                <w:bottom w:val="single" w:sz="2" w:space="1" w:color="000000"/>
              </w:pBdr>
              <w:bidi w:val="0"/>
              <w:spacing w:before="0" w:after="20"/>
              <w:jc w:val="left"/>
              <w:rPr/>
            </w:pPr>
            <w:r>
              <w:rPr/>
              <w:t> </w:t>
            </w:r>
          </w:p>
        </w:tc>
      </w:tr>
      <w:tr>
        <w:trPr>
          <w:trHeight w:val="120" w:hRule="atLeast"/>
        </w:trPr>
        <w:tc>
          <w:tcPr>
            <w:tcW w:w="270" w:type="dxa"/>
            <w:tcBorders/>
            <w:vAlign w:val="center"/>
          </w:tcPr>
          <w:p>
            <w:pPr>
              <w:pStyle w:val="TableContents"/>
              <w:bidi w:val="0"/>
              <w:spacing w:before="0" w:after="283"/>
              <w:jc w:val="left"/>
              <w:rPr>
                <w:sz w:val="4"/>
                <w:szCs w:val="4"/>
              </w:rPr>
            </w:pPr>
            <w:r>
              <w:rPr>
                <w:sz w:val="4"/>
                <w:szCs w:val="4"/>
              </w:rPr>
            </w:r>
          </w:p>
        </w:tc>
        <w:tc>
          <w:tcPr>
            <w:tcW w:w="3858" w:type="dxa"/>
            <w:gridSpan w:val="2"/>
            <w:tcBorders/>
            <w:vAlign w:val="center"/>
          </w:tcPr>
          <w:p>
            <w:pPr>
              <w:pStyle w:val="TableContents"/>
              <w:bidi w:val="0"/>
              <w:spacing w:before="0" w:after="283"/>
              <w:jc w:val="left"/>
              <w:rPr>
                <w:sz w:val="4"/>
                <w:szCs w:val="4"/>
              </w:rPr>
            </w:pPr>
            <w:r>
              <w:rPr>
                <w:sz w:val="4"/>
                <w:szCs w:val="4"/>
              </w:rPr>
            </w:r>
          </w:p>
        </w:tc>
        <w:tc>
          <w:tcPr>
            <w:tcW w:w="6077" w:type="dxa"/>
            <w:gridSpan w:val="2"/>
            <w:tcBorders/>
            <w:vAlign w:val="center"/>
          </w:tcPr>
          <w:p>
            <w:pPr>
              <w:pStyle w:val="TableContents"/>
              <w:bidi w:val="0"/>
              <w:spacing w:before="0" w:after="283"/>
              <w:jc w:val="left"/>
              <w:rPr>
                <w:sz w:val="4"/>
                <w:szCs w:val="4"/>
              </w:rPr>
            </w:pPr>
            <w:r>
              <w:rPr>
                <w:sz w:val="4"/>
                <w:szCs w:val="4"/>
              </w:rPr>
            </w:r>
          </w:p>
        </w:tc>
      </w:tr>
      <w:tr>
        <w:trPr/>
        <w:tc>
          <w:tcPr>
            <w:tcW w:w="270" w:type="dxa"/>
            <w:tcBorders/>
          </w:tcPr>
          <w:p>
            <w:pPr>
              <w:pStyle w:val="TableContents"/>
              <w:bidi w:val="0"/>
              <w:spacing w:before="0" w:after="283"/>
              <w:jc w:val="left"/>
              <w:rPr/>
            </w:pPr>
            <w:r>
              <w:rPr/>
              <w:t>D.</w:t>
            </w:r>
          </w:p>
        </w:tc>
        <w:tc>
          <w:tcPr>
            <w:tcW w:w="132"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Vesting Start Date:</w:t>
            </w:r>
          </w:p>
        </w:tc>
        <w:tc>
          <w:tcPr>
            <w:tcW w:w="132" w:type="dxa"/>
            <w:tcBorders/>
            <w:vAlign w:val="bottom"/>
          </w:tcPr>
          <w:p>
            <w:pPr>
              <w:pStyle w:val="TableContents"/>
              <w:bidi w:val="0"/>
              <w:spacing w:before="0" w:after="283"/>
              <w:jc w:val="left"/>
              <w:rPr/>
            </w:pPr>
            <w:r>
              <w:rPr/>
              <w:t>  </w:t>
            </w:r>
          </w:p>
        </w:tc>
        <w:tc>
          <w:tcPr>
            <w:tcW w:w="5945" w:type="dxa"/>
            <w:tcBorders/>
          </w:tcPr>
          <w:p>
            <w:pPr>
              <w:pStyle w:val="TableContents"/>
              <w:pBdr>
                <w:bottom w:val="single" w:sz="2" w:space="1" w:color="000000"/>
              </w:pBdr>
              <w:bidi w:val="0"/>
              <w:spacing w:before="0" w:after="20"/>
              <w:jc w:val="left"/>
              <w:rPr/>
            </w:pPr>
            <w:r>
              <w:rPr/>
              <w:t> </w:t>
            </w:r>
          </w:p>
        </w:tc>
      </w:tr>
      <w:tr>
        <w:trPr>
          <w:trHeight w:val="120" w:hRule="atLeast"/>
        </w:trPr>
        <w:tc>
          <w:tcPr>
            <w:tcW w:w="270" w:type="dxa"/>
            <w:tcBorders/>
            <w:vAlign w:val="center"/>
          </w:tcPr>
          <w:p>
            <w:pPr>
              <w:pStyle w:val="TableContents"/>
              <w:bidi w:val="0"/>
              <w:spacing w:before="0" w:after="283"/>
              <w:jc w:val="left"/>
              <w:rPr>
                <w:sz w:val="4"/>
                <w:szCs w:val="4"/>
              </w:rPr>
            </w:pPr>
            <w:r>
              <w:rPr>
                <w:sz w:val="4"/>
                <w:szCs w:val="4"/>
              </w:rPr>
            </w:r>
          </w:p>
        </w:tc>
        <w:tc>
          <w:tcPr>
            <w:tcW w:w="3858" w:type="dxa"/>
            <w:gridSpan w:val="2"/>
            <w:tcBorders/>
            <w:vAlign w:val="center"/>
          </w:tcPr>
          <w:p>
            <w:pPr>
              <w:pStyle w:val="TableContents"/>
              <w:bidi w:val="0"/>
              <w:spacing w:before="0" w:after="283"/>
              <w:jc w:val="left"/>
              <w:rPr>
                <w:sz w:val="4"/>
                <w:szCs w:val="4"/>
              </w:rPr>
            </w:pPr>
            <w:r>
              <w:rPr>
                <w:sz w:val="4"/>
                <w:szCs w:val="4"/>
              </w:rPr>
            </w:r>
          </w:p>
        </w:tc>
        <w:tc>
          <w:tcPr>
            <w:tcW w:w="6077" w:type="dxa"/>
            <w:gridSpan w:val="2"/>
            <w:tcBorders/>
            <w:vAlign w:val="center"/>
          </w:tcPr>
          <w:p>
            <w:pPr>
              <w:pStyle w:val="TableContents"/>
              <w:bidi w:val="0"/>
              <w:spacing w:before="0" w:after="283"/>
              <w:jc w:val="left"/>
              <w:rPr>
                <w:sz w:val="4"/>
                <w:szCs w:val="4"/>
              </w:rPr>
            </w:pPr>
            <w:r>
              <w:rPr>
                <w:sz w:val="4"/>
                <w:szCs w:val="4"/>
              </w:rPr>
            </w:r>
          </w:p>
        </w:tc>
      </w:tr>
      <w:tr>
        <w:trPr/>
        <w:tc>
          <w:tcPr>
            <w:tcW w:w="270" w:type="dxa"/>
            <w:tcBorders/>
          </w:tcPr>
          <w:p>
            <w:pPr>
              <w:pStyle w:val="TableContents"/>
              <w:bidi w:val="0"/>
              <w:spacing w:before="0" w:after="283"/>
              <w:jc w:val="left"/>
              <w:rPr/>
            </w:pPr>
            <w:r>
              <w:rPr/>
              <w:t>E.</w:t>
            </w:r>
          </w:p>
        </w:tc>
        <w:tc>
          <w:tcPr>
            <w:tcW w:w="132" w:type="dxa"/>
            <w:tcBorders/>
            <w:vAlign w:val="bottom"/>
          </w:tcPr>
          <w:p>
            <w:pPr>
              <w:pStyle w:val="TableContents"/>
              <w:bidi w:val="0"/>
              <w:spacing w:before="0" w:after="283"/>
              <w:jc w:val="left"/>
              <w:rPr/>
            </w:pPr>
            <w:r>
              <w:rPr/>
              <w:t>  </w:t>
            </w:r>
          </w:p>
        </w:tc>
        <w:tc>
          <w:tcPr>
            <w:tcW w:w="3726" w:type="dxa"/>
            <w:tcBorders/>
          </w:tcPr>
          <w:p>
            <w:pPr>
              <w:pStyle w:val="TableContents"/>
              <w:bidi w:val="0"/>
              <w:spacing w:before="0" w:after="283"/>
              <w:jc w:val="left"/>
              <w:rPr/>
            </w:pPr>
            <w:r>
              <w:rPr/>
              <w:t>Vesting Schedule:</w:t>
            </w:r>
          </w:p>
        </w:tc>
        <w:tc>
          <w:tcPr>
            <w:tcW w:w="132" w:type="dxa"/>
            <w:tcBorders/>
            <w:vAlign w:val="bottom"/>
          </w:tcPr>
          <w:p>
            <w:pPr>
              <w:pStyle w:val="TableContents"/>
              <w:bidi w:val="0"/>
              <w:spacing w:before="0" w:after="283"/>
              <w:jc w:val="left"/>
              <w:rPr/>
            </w:pPr>
            <w:r>
              <w:rPr/>
              <w:t>  </w:t>
            </w:r>
          </w:p>
        </w:tc>
        <w:tc>
          <w:tcPr>
            <w:tcW w:w="594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Restricted Stock Unit Award shall vest as follows provided the Participant remains in Continuous Service through the applicable vesting date: </w:t>
      </w:r>
    </w:p>
    <w:p>
      <w:pPr>
        <w:pStyle w:val="TextBody"/>
        <w:bidi w:val="0"/>
        <w:spacing w:before="240" w:after="0"/>
        <w:jc w:val="left"/>
        <w:rPr>
          <w:rFonts w:ascii="Times New Roman" w:hAnsi="Times New Roman"/>
          <w:sz w:val="20"/>
        </w:rPr>
      </w:pPr>
      <w:r>
        <w:rPr>
          <w:rFonts w:ascii="Times New Roman" w:hAnsi="Times New Roman"/>
          <w:sz w:val="20"/>
        </w:rPr>
        <w:t xml:space="preserve">[__]. </w:t>
      </w:r>
    </w:p>
    <w:p>
      <w:pPr>
        <w:pStyle w:val="TextBody"/>
        <w:bidi w:val="0"/>
        <w:spacing w:before="240" w:after="0"/>
        <w:jc w:val="left"/>
        <w:rPr>
          <w:rFonts w:ascii="Times New Roman" w:hAnsi="Times New Roman"/>
          <w:sz w:val="20"/>
        </w:rPr>
      </w:pPr>
      <w:r>
        <w:rPr>
          <w:rFonts w:ascii="Times New Roman" w:hAnsi="Times New Roman"/>
          <w:sz w:val="20"/>
        </w:rPr>
        <w:t xml:space="preserve">[__].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Participant acknowledge receipt of this Restricted Stock Unit Award Grant Notice and agree to the terms of the Restricted Stock Unit Agreement attached hereto and incorporated by reference herein, the Company’s Amended and Restated 2021 Equity Incentive Plan and the terms of this Restricted Stock Unit Award as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24"/>
        <w:gridCol w:w="132"/>
        <w:gridCol w:w="3026"/>
      </w:tblGrid>
      <w:tr>
        <w:trPr/>
        <w:tc>
          <w:tcPr>
            <w:tcW w:w="92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Wave Life Sciences, Inc.</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Participant</w:t>
            </w:r>
          </w:p>
        </w:tc>
      </w:tr>
      <w:tr>
        <w:trPr>
          <w:trHeight w:val="240" w:hRule="atLeast"/>
        </w:trPr>
        <w:tc>
          <w:tcPr>
            <w:tcW w:w="924" w:type="dxa"/>
            <w:tcBorders/>
            <w:vAlign w:val="center"/>
          </w:tcPr>
          <w:p>
            <w:pPr>
              <w:pStyle w:val="TableContents"/>
              <w:bidi w:val="0"/>
              <w:spacing w:before="0" w:after="283"/>
              <w:jc w:val="left"/>
              <w:rPr>
                <w:sz w:val="4"/>
                <w:szCs w:val="4"/>
              </w:rPr>
            </w:pPr>
            <w:r>
              <w:rPr>
                <w:sz w:val="4"/>
                <w:szCs w:val="4"/>
              </w:rPr>
            </w:r>
          </w:p>
        </w:tc>
        <w:tc>
          <w:tcPr>
            <w:tcW w:w="3158" w:type="dxa"/>
            <w:gridSpan w:val="2"/>
            <w:tcBorders/>
            <w:vAlign w:val="center"/>
          </w:tcPr>
          <w:p>
            <w:pPr>
              <w:pStyle w:val="TableContents"/>
              <w:bidi w:val="0"/>
              <w:spacing w:before="0" w:after="283"/>
              <w:jc w:val="left"/>
              <w:rPr>
                <w:sz w:val="4"/>
                <w:szCs w:val="4"/>
              </w:rPr>
            </w:pPr>
            <w:r>
              <w:rPr>
                <w:sz w:val="4"/>
                <w:szCs w:val="4"/>
              </w:rPr>
            </w:r>
          </w:p>
        </w:tc>
      </w:tr>
      <w:tr>
        <w:trPr/>
        <w:tc>
          <w:tcPr>
            <w:tcW w:w="924" w:type="dxa"/>
            <w:tcBorders/>
          </w:tcPr>
          <w:p>
            <w:pPr>
              <w:pStyle w:val="TableContents"/>
              <w:bidi w:val="0"/>
              <w:spacing w:before="0" w:after="283"/>
              <w:jc w:val="left"/>
              <w:rPr/>
            </w:pPr>
            <w:r>
              <w:rPr/>
              <w:t>By:</w:t>
            </w:r>
          </w:p>
        </w:tc>
        <w:tc>
          <w:tcPr>
            <w:tcW w:w="132" w:type="dxa"/>
            <w:tcBorders/>
            <w:vAlign w:val="bottom"/>
          </w:tcPr>
          <w:p>
            <w:pPr>
              <w:pStyle w:val="TableContents"/>
              <w:bidi w:val="0"/>
              <w:spacing w:before="0" w:after="283"/>
              <w:jc w:val="left"/>
              <w:rPr/>
            </w:pPr>
            <w:r>
              <w:rPr/>
              <w:t> </w:t>
            </w:r>
          </w:p>
        </w:tc>
        <w:tc>
          <w:tcPr>
            <w:tcW w:w="3026"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RESTRICTED STOCK UNIT AGREEMENT - INCORPORATED TERMS AND CONDITIONS </w:t>
      </w:r>
    </w:p>
    <w:p>
      <w:pPr>
        <w:pStyle w:val="TextBody"/>
        <w:bidi w:val="0"/>
        <w:spacing w:before="240" w:after="0"/>
        <w:jc w:val="left"/>
        <w:rPr>
          <w:rFonts w:ascii="Times New Roman" w:hAnsi="Times New Roman"/>
          <w:sz w:val="20"/>
        </w:rPr>
      </w:pPr>
      <w:r>
        <w:rPr>
          <w:rFonts w:ascii="Times New Roman" w:hAnsi="Times New Roman"/>
          <w:sz w:val="20"/>
        </w:rPr>
        <w:t>This Restricted Stock Unit Agreement (this “</w:t>
      </w:r>
      <w:r>
        <w:rPr>
          <w:rFonts w:ascii="Times New Roman" w:hAnsi="Times New Roman"/>
          <w:sz w:val="20"/>
          <w:u w:val="single"/>
        </w:rPr>
        <w:t>Agreement</w:t>
      </w:r>
      <w:r>
        <w:rPr>
          <w:rFonts w:ascii="Times New Roman" w:hAnsi="Times New Roman"/>
          <w:sz w:val="20"/>
        </w:rPr>
        <w:t>”) is made and entered into as of the Grant Date by and between Wave Life Sciences. Inc., a company incorporated in Delaware (the “</w:t>
      </w:r>
      <w:r>
        <w:rPr>
          <w:rFonts w:ascii="Times New Roman" w:hAnsi="Times New Roman"/>
          <w:sz w:val="20"/>
          <w:u w:val="single"/>
        </w:rPr>
        <w:t>Company</w:t>
      </w:r>
      <w:r>
        <w:rPr>
          <w:rFonts w:ascii="Times New Roman" w:hAnsi="Times New Roman"/>
          <w:sz w:val="20"/>
        </w:rPr>
        <w:t>”), and the individual whose name appears on the Restricted Stock Unit Award Grant Notice (the “</w:t>
      </w:r>
      <w:r>
        <w:rPr>
          <w:rFonts w:ascii="Times New Roman" w:hAnsi="Times New Roman"/>
          <w:sz w:val="20"/>
          <w:u w:val="single"/>
        </w:rPr>
        <w:t>Participant</w:t>
      </w: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Company has adopted the Wave Life Sciences, Inc. Amended and Restated 2021 Equity Incentive Plan (the “</w:t>
      </w:r>
      <w:r>
        <w:rPr>
          <w:rFonts w:ascii="Times New Roman" w:hAnsi="Times New Roman"/>
          <w:sz w:val="20"/>
          <w:u w:val="single"/>
        </w:rPr>
        <w:t>Plan</w:t>
      </w:r>
      <w:r>
        <w:rPr>
          <w:rFonts w:ascii="Times New Roman" w:hAnsi="Times New Roman"/>
          <w:sz w:val="20"/>
        </w:rPr>
        <w:t xml:space="preserve">”) pursuant to which awards of Restricted Stock Units may be granted;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Board or the Committee has determined that it is in the best interests of the Company and its shareholders to grant the award of Restricted Stock Units provided for herein.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hereto, intending to be legally bound,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 of Restricted Stock Units</w:t>
      </w:r>
      <w:r>
        <w:rPr>
          <w:rFonts w:ascii="Times New Roman" w:hAnsi="Times New Roman"/>
          <w:sz w:val="20"/>
        </w:rPr>
        <w:t>. Pursuant to Section 7.2 of the Plan, the Company hereby issues to the Participant on the Grant Date set forth in the Restricted Stock Unit Award Grant Notice (the “Award”) the number of Restricted Stock Units (the “</w:t>
      </w:r>
      <w:r>
        <w:rPr>
          <w:rFonts w:ascii="Times New Roman" w:hAnsi="Times New Roman"/>
          <w:sz w:val="20"/>
          <w:u w:val="single"/>
        </w:rPr>
        <w:t>Restricted Stock Units</w:t>
      </w:r>
      <w:r>
        <w:rPr>
          <w:rFonts w:ascii="Times New Roman" w:hAnsi="Times New Roman"/>
          <w:sz w:val="20"/>
        </w:rPr>
        <w:t xml:space="preserve">”) set forth in the Award. Each Restricted Stock Unit represents a contingent right to receive one Common Share, subject to the terms and conditions set forth in this Agreement and the Plan. Capitalized terms that are used but not defined herein have the meaning ascribed to them in the Plan.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Consideration</w:t>
      </w:r>
      <w:r>
        <w:rPr>
          <w:rFonts w:ascii="Times New Roman" w:hAnsi="Times New Roman"/>
          <w:sz w:val="20"/>
        </w:rPr>
        <w:t xml:space="preserve">. The grant of the Restricted Stock Units is made in consideration of the services to be rendered by the Participant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Vesting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3.1 Except as otherwise provided herein, provided that the Participant remains in Continuous Service through the applicable vesting date, the Restricted Stock Units will vest, and no longer be subject to any restrictions, in accordance with the schedule set forth in the Award (the period during which restrictions apply, the “</w:t>
      </w:r>
      <w:r>
        <w:rPr>
          <w:rFonts w:ascii="Times New Roman" w:hAnsi="Times New Roman"/>
          <w:sz w:val="20"/>
          <w:u w:val="single"/>
        </w:rPr>
        <w:t>Restricted Period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3.2 The foregoing vesting schedule notwithstanding, if the Participant’s Continuous Service terminates for any reason at any time before all of his or her Restricted Stock Units have vested, the Participant’s unvested Restricted Stock Units shall be automatically forfeited upon such termination of Continuous Service and neither the Company nor any Affiliate shall have any further obligations to the Participant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Rights as Shareholder; Dividend Equivalents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The Participant shall not have any rights of a shareholder with respect to the Common Shares underlying the Restricted Stock Units (including, without limitation, any voting rights or any right to dividends paid with respect to the Common Shares underlying the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4.2 The Participant shall not be entitled to any Dividend Equivalents in respect of the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 of 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5.1 Within ten days of the vesting of a Restricted Stock Unit, the Company shall issue Common Shares registered in the name of the Participant, the Participant’s authorized assignee, or the Participant’s legal representative, which shall be evidenced by share certificates representing the shares with the appropriate legends affixed thereto, appropriate entry on the books of the Company or of a duly authorized transfer agent, or other appropriate means as determined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5.2 To the extent that the Participant does not vest in any Restricted Stock Units, all interest in such Restricted Stock Units shall be forfeited. The Participant has no right or interest in any Restricted Stock Units that are forfeited.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Tax Liability and Withholding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6.1 The Participant shall be required to pay to the Company, and the Company shall deduct from any compensation paid to the Participant pursuant to the vesting of the Restricted Stock Units, the amount of any applicable foreign, federal, state and local withholding obligations of the Company or the Participant’s employer or former employer (including income tax and National Insurance Contributions due under the United Kingdom’s Pay As You Earn withholding system) in respect of the Restricted Stock Units and take all such other action as the Company deems necessary to satisfy all obligations for the payment of such withholding obligations by instructing a registered broker chosen by the Company to sell on the applicable vesting date such number of Common Shares as the Company deems necessary to satisfy the Company’s or the Participant’s employer’s or former employer’s withholding obligations, after deducting the broker’s commission. To the extent the proceeds of such sale exceed the withholding obligation the Company agrees to pay or procure the payment of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 by the sale of shares.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the Participant shall execute any such documents requested by the broker in order to effectuate the sale of Common Shares and payment of the withholding obligation to the Company or the Participant’s employer or former employer. The Participant acknowledges that this paragraph is intended to comply with Section 10b5-1(c)(1(i)(B) under the U.S.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6.2 Notwithstanding any action the Company takes with respect to any or all income tax, social insurance, social security contributions (including National Insurance Contributions), payroll tax, or other tax-related withholding (“</w:t>
      </w:r>
      <w:r>
        <w:rPr>
          <w:rFonts w:ascii="Times New Roman" w:hAnsi="Times New Roman"/>
          <w:sz w:val="20"/>
          <w:u w:val="single"/>
        </w:rPr>
        <w:t>Tax-Related Items</w:t>
      </w:r>
      <w:r>
        <w:rPr>
          <w:rFonts w:ascii="Times New Roman" w:hAnsi="Times New Roman"/>
          <w:sz w:val="20"/>
        </w:rPr>
        <w:t xml:space="preserve">”), the ultimate liability for all Tax-Related Items is and remains the Participant’s responsibility and the Company (a) makes no representation or undertakings regarding the treatment of any Tax-Related Items in connection with the grant, vesting or settlement of the Restricted Stock Units; and (b) does not commit to structure the Restricted Stock Units to reduce or eliminate the Participant’s liability for Tax-Related Items.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Right to Continued Service; No Rights as Shareholder</w:t>
      </w:r>
      <w:r>
        <w:rPr>
          <w:rFonts w:ascii="Times New Roman" w:hAnsi="Times New Roman"/>
          <w:sz w:val="20"/>
        </w:rPr>
        <w:t xml:space="preserve">. Neither the Plan nor this Agreement shall confer upon the Participant any right to be retained in any position, as an Employee, Consultant or Director of the Company or its Affiliates. Further, nothing in the Plan or this Agreement shall be construed to limit the discretion of the Company to terminate the Participant’s Continuous Service at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with or without Cause. The Participant shall not have any rights as a shareholder with respect to any Common Shares subject to the Restricted Stock Units prior to the date of settlement. In addition, neither the Plan nor this Agreement shall form part of any contract of employment between the Company or its Affiliates and the Participant. Neither the Plan nor this Agreement entitles the Participant to the exercise of any discretion in his or her favour. The benefit to the Participant of participation in the Plan (including, in particular but not by way of limitation, any Award held by him or her) shall not form any part of his or her remuneration or count as his or her remuneration for any purpose and shall not be pensionable. If the Participant ceases to be an Employee for any reason, he or she shall not be entitled to compensation for the loss or diminution in value of any right or benefit or prospective right or benefit under the Plan (including, in particular but not by way of limitation, any Award held by him which lapse by reason of his or her ceasing to be in employment with the Company or its Affiliates) whether by way of damages for unfair dismissal, wrongful dismissal, breach of contract or otherwise.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Transferability</w:t>
      </w:r>
      <w:r>
        <w:rPr>
          <w:rFonts w:ascii="Times New Roman" w:hAnsi="Times New Roman"/>
          <w:sz w:val="20"/>
        </w:rPr>
        <w:t xml:space="preserve">. The Restricted Stock Units are not transferable by the Participant other than to a designated beneficiary upon the Participant’s death or by will or the laws of descent and distribution or pursuant to a qualified domestic relations order as defined by Applicable Laws. No assignment or transfer of the Restricted Stock Units, or the rights represented thereby, whether voluntary or involuntary, by operation of law or otherwise (except to a designated beneficiary, upon death, by will or the laws of descent or distribution) will vest in the assignee or transferee any interest or right herein whatsoever, but immediately upon such assignment or transfer the Restricted Stock Units will be forfeited by the Participant and all of the Participant’s rights to such Restricted Stock Units shall immediately terminate without payment or consideration by the Company and become of no further effect.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Corporate Transaction and Adjustments</w:t>
      </w:r>
      <w:r>
        <w:rPr>
          <w:rFonts w:ascii="Times New Roman" w:hAnsi="Times New Roman"/>
          <w:sz w:val="20"/>
        </w:rPr>
        <w:t xml:space="preserve">. The Common Shares subject to the Restricted Stock Units may be adjusted or terminated in any manner as contemplated by Sections 11 and 12 of the Plan. </w:t>
      </w:r>
    </w:p>
    <w:p>
      <w:pPr>
        <w:pStyle w:val="TextBody"/>
        <w:bidi w:val="0"/>
        <w:spacing w:before="12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Compliance with Law</w:t>
      </w:r>
      <w:r>
        <w:rPr>
          <w:rFonts w:ascii="Times New Roman" w:hAnsi="Times New Roman"/>
          <w:sz w:val="20"/>
        </w:rPr>
        <w:t xml:space="preserve">. This Award and the issuance and transfer of Common Shares shall be subject to compliance by the Company and the Participant with all Applicable Laws. No Common Shares shall be issued upon vesting of the Restricted Stock Units unless and until any then Applicable Laws have been fully complied with to the satisfaction of the Company and its counsel. The Participant understands that the Company is under no obligation to register the Common Shares with the U.S. Securities and Exchange Commission, any state securities commission or any stock exchange or under any other Applicable Laws to effect such compliance.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Governing Law</w:t>
      </w:r>
      <w:r>
        <w:rPr>
          <w:rFonts w:ascii="Times New Roman" w:hAnsi="Times New Roman"/>
          <w:sz w:val="20"/>
        </w:rPr>
        <w:t xml:space="preserve">. This Agreement will be construed and interpreted in accordance with the laws of the State of Delaware and any other Applicable Laws, without giving effect to the conflict of law principles thereof. For the purpose of litigating any dispute that arises under this Agreement, if the Participant is a tax resident of the United States the parties hereby consent to exclusive jurisdiction in the Commonwealth of Massachusetts and agree that such litigation shall be conducted in the state courts of Middlesex County, Massachusetts or the federal courts of the United States for the District of Massachusetts and if the Participant is a resident of any other country the parties consent to the exclusive jurisdiction in the country in which such Participant resides.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Interpretation</w:t>
      </w:r>
      <w:r>
        <w:rPr>
          <w:rFonts w:ascii="Times New Roman" w:hAnsi="Times New Roman"/>
          <w:sz w:val="20"/>
        </w:rPr>
        <w:t xml:space="preserve">. Any dispute regarding the interpretation of this Agreement shall be submitted by the Participant or the Company to the Committee for review. The resolution of such dispute by the Committee shall be final and binding on the Participant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Restricted Stock Units Subject to Plan</w:t>
      </w:r>
      <w:r>
        <w:rPr>
          <w:rFonts w:ascii="Times New Roman" w:hAnsi="Times New Roman"/>
          <w:sz w:val="20"/>
        </w:rPr>
        <w:t xml:space="preserve">. This Agreement is subject to the Plan as approved by the Company’s shareholders.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 </w:t>
      </w:r>
    </w:p>
    <w:p>
      <w:pPr>
        <w:pStyle w:val="TextBody"/>
        <w:bidi w:val="0"/>
        <w:spacing w:before="12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 The Company may assign any of its rights under this Agreement</w:t>
      </w:r>
      <w:r>
        <w:rPr>
          <w:rFonts w:ascii="Times New Roman" w:hAnsi="Times New Roman"/>
          <w:sz w:val="20"/>
        </w:rPr>
        <w:t xml:space="preserve">. This Agreement will be binding upon and inure to the benefit of the successors and assigns of the Company. Subject to the restrictions on transfer set forth herein, this Agreement will be binding upon the Participant and the Participant’s beneficiaries, executors, administrators and the person(s) to whom the Restricted Stock Units may be transferred by will or the laws of descent or distribution. </w:t>
      </w:r>
    </w:p>
    <w:p>
      <w:pPr>
        <w:pStyle w:val="TextBody"/>
        <w:bidi w:val="0"/>
        <w:spacing w:before="12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Severability. The invalidity or unenforceability of any provision of the Plan or this</w:t>
      </w:r>
      <w:r>
        <w:rPr>
          <w:rFonts w:ascii="Times New Roman" w:hAnsi="Times New Roman"/>
          <w:sz w:val="20"/>
        </w:rPr>
        <w:t xml:space="preserve"> Ag</w:t>
      </w:r>
      <w:r>
        <w:rPr>
          <w:rFonts w:ascii="Times New Roman" w:hAnsi="Times New Roman"/>
          <w:sz w:val="20"/>
          <w:u w:val="single"/>
        </w:rPr>
        <w:t>r</w:t>
      </w:r>
      <w:r>
        <w:rPr>
          <w:rFonts w:ascii="Times New Roman" w:hAnsi="Times New Roman"/>
          <w:sz w:val="20"/>
        </w:rPr>
        <w:t xml:space="preserve">eement shall not affect the validity or enforceability of any other provision of the Plan or this Agreement, and each provision of the Plan and this Agreement shall be severable and enforceable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Discretionary Nature of Plan</w:t>
      </w:r>
      <w:r>
        <w:rPr>
          <w:rFonts w:ascii="Times New Roman" w:hAnsi="Times New Roman"/>
          <w:sz w:val="20"/>
        </w:rPr>
        <w:t xml:space="preserve">.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the Participant’s employment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Amendment</w:t>
      </w:r>
      <w:r>
        <w:rPr>
          <w:rFonts w:ascii="Times New Roman" w:hAnsi="Times New Roman"/>
          <w:sz w:val="20"/>
        </w:rPr>
        <w:t xml:space="preserve">. The Committee has the right to amend, alter, suspend, discontinue or cancel the Restricted Stock Units, prospectively or retroactively; </w:t>
      </w:r>
      <w:r>
        <w:rPr>
          <w:rFonts w:ascii="Times New Roman" w:hAnsi="Times New Roman"/>
          <w:i/>
          <w:sz w:val="20"/>
        </w:rPr>
        <w:t>provided, that</w:t>
      </w:r>
      <w:r>
        <w:rPr>
          <w:rFonts w:ascii="Times New Roman" w:hAnsi="Times New Roman"/>
          <w:sz w:val="20"/>
        </w:rPr>
        <w:t xml:space="preserve">, no such amendment shall adversely affect the Participant’s material rights under this Agreement unless (a) the Company requests the consent of the Participant; and (b) the Participant consents in writing. </w:t>
      </w:r>
    </w:p>
    <w:p>
      <w:pPr>
        <w:pStyle w:val="TextBody"/>
        <w:bidi w:val="0"/>
        <w:spacing w:before="12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Section 409A</w:t>
      </w:r>
      <w:r>
        <w:rPr>
          <w:rFonts w:ascii="Times New Roman" w:hAnsi="Times New Roman"/>
          <w:sz w:val="20"/>
        </w:rPr>
        <w:t xml:space="preserve">. This Agreement is intended to comply with an exemption from Section 409A of the Code and shall be construed and interpreted in a manner that is consistent with the requirements for avoiding additional taxes or penalties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Participant on account of non-compliance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No Impact on Other Benefits</w:t>
      </w:r>
      <w:r>
        <w:rPr>
          <w:rFonts w:ascii="Times New Roman" w:hAnsi="Times New Roman"/>
          <w:sz w:val="20"/>
        </w:rPr>
        <w:t xml:space="preserve">. The value of the Participant’s Restricted Stock Units is not part of his or her normal or expected compensation for purposes of calculating any severance, retirement, welfare, insurance or similar employee benefit. </w:t>
      </w:r>
    </w:p>
    <w:p>
      <w:pPr>
        <w:pStyle w:val="TextBody"/>
        <w:bidi w:val="0"/>
        <w:spacing w:before="12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Data Privacy</w:t>
      </w:r>
      <w:r>
        <w:rPr>
          <w:rFonts w:ascii="Times New Roman" w:hAnsi="Times New Roman"/>
          <w:sz w:val="20"/>
        </w:rPr>
        <w:t xml:space="preserve">.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Restricted Stock Units and the administration of the Plan; and (ii) authorizes the Company and each Affiliate to store and transmit such information in electronic form for the purposes set forth in this Agreement. For the purposes of the Plan, the Wave Life Sciences UK Limited Employee Privacy Notice (“Privacy Notice”) informs the Participant whether their personal data is processed under the EU’s General Data Protection Regulation (2016/679) (or any successor or implementing laws) (the “GDPR”) and if so, the basis for processing such data. The Participant understands that, in accordance with the Privacy Notice, their personal data may be transferred and/or processed for any purpose relating to the Plan by the Company, its Affiliates, and those administering or providing services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Acceptance</w:t>
      </w:r>
      <w:r>
        <w:rPr>
          <w:rFonts w:ascii="Times New Roman" w:hAnsi="Times New Roman"/>
          <w:sz w:val="20"/>
        </w:rPr>
        <w:t xml:space="preserve">. The Participant hereby acknowledges receipt of a copy of the Plan and this Agreement. The Participant has read and understands the terms and provisions thereof, and accepts the Restricted Stock Units subject to all of the terms and conditions of the Plan and this Agreement. The Participant acknowledges that there may be adverse tax consequences upon the vesting or settlement of the Restricted Stock Units and that the Participant should consult a tax advisor prior to such vesting or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631574/000119312515406386/d38525ds8.htm" TargetMode="External"/><Relationship Id="rId3" Type="http://schemas.openxmlformats.org/officeDocument/2006/relationships/hyperlink" Target="http://www.sec.gov/Archives/edgar/data/1631574/000119312517338967/d492685ds8.htm" TargetMode="External"/><Relationship Id="rId4" Type="http://schemas.openxmlformats.org/officeDocument/2006/relationships/hyperlink" Target="http://www.sec.gov/Archives/edgar/data/1631574/000119312518323760/d649997ds8.htm" TargetMode="External"/><Relationship Id="rId5" Type="http://schemas.openxmlformats.org/officeDocument/2006/relationships/hyperlink" Target="http://www.sec.gov/Archives/edgar/data/1631574/000119312519214169/d787476ds8.htm" TargetMode="External"/><Relationship Id="rId6" Type="http://schemas.openxmlformats.org/officeDocument/2006/relationships/hyperlink" Target="http://www.sec.gov/Archives/edgar/data/1631574/000119312519284817/d807758ds8.htm" TargetMode="External"/><Relationship Id="rId7" Type="http://schemas.openxmlformats.org/officeDocument/2006/relationships/hyperlink" Target="http://www.sec.gov/Archives/edgar/data/1631574/000119312520214144/d27572ds8.htm" TargetMode="External"/><Relationship Id="rId8" Type="http://schemas.openxmlformats.org/officeDocument/2006/relationships/hyperlink" Target="http://www.sec.gov/Archives/edgar/data/1631574/000119312520214223/d944747ds8.htm" TargetMode="External"/><Relationship Id="rId9" Type="http://schemas.openxmlformats.org/officeDocument/2006/relationships/hyperlink" Target="http://www.sec.gov/Archives/edgar/data/1631574/000119312521262042/d192798ds8.htm" TargetMode="External"/><Relationship Id="rId10" Type="http://schemas.openxmlformats.org/officeDocument/2006/relationships/hyperlink" Target="http://www.sec.gov/Archives/edgar/data/1631574/000119312521325364/d231714ds8.htm" TargetMode="External"/><Relationship Id="rId11" Type="http://schemas.openxmlformats.org/officeDocument/2006/relationships/hyperlink" Target="http://www.sec.gov/Archives/edgar/data/1631574/000119312522281997/d420078ds8.htm" TargetMode="External"/><Relationship Id="rId12" Type="http://schemas.openxmlformats.org/officeDocument/2006/relationships/hyperlink" Target="http://www.sec.gov/Archives/edgar/data/1631574/000119312523274106/d555999ds8.htm" TargetMode="External"/><Relationship Id="rId13" Type="http://schemas.openxmlformats.org/officeDocument/2006/relationships/hyperlink" Target="http://www.sec.gov/Archives/edgar/data/1631574/000119312523274107/d520887ds8.htm" TargetMode="External"/><Relationship Id="rId14" Type="http://schemas.openxmlformats.org/officeDocument/2006/relationships/hyperlink" Target="http://www.sec.gov/Archives/edgar/data/1631574/000119312524255187/d857946ds8.htm" TargetMode="External"/><Relationship Id="rId15" Type="http://schemas.openxmlformats.org/officeDocument/2006/relationships/hyperlink" Target="http://www.sec.gov/Archives/edgar/data/1631574/000119312524255192/d842749ds8.htm" TargetMode="External"/><Relationship Id="rId16" Type="http://schemas.openxmlformats.org/officeDocument/2006/relationships/hyperlink" Target="http://www.sec.gov/Archives/edgar/data/1631574/000119312525273384/d26054ds8.htm" TargetMode="External"/><Relationship Id="rId17" Type="http://schemas.openxmlformats.org/officeDocument/2006/relationships/hyperlink" Target="http://www.sec.gov/Archives/edgar/data/1631574/000119312525273391/d22976ds8.htm" TargetMode="External"/><Relationship Id="rId18" Type="http://schemas.openxmlformats.org/officeDocument/2006/relationships/hyperlink" Target="http://www.sec.gov/Archives/edgar/data/../../../ix?doc=/Archives/edgar/data/0001631574/000119312526073472/wve-20251231.htm" TargetMode="External"/><Relationship Id="rId19" Type="http://schemas.openxmlformats.org/officeDocument/2006/relationships/hyperlink" Target="http://www.sec.gov/Archives/edgar/data/../../../ix?doc=/Archives/edgar/data/1631574/000119312526197330/wve-20251231.htm" TargetMode="External"/><Relationship Id="rId20" Type="http://schemas.openxmlformats.org/officeDocument/2006/relationships/hyperlink" Target="http://www.sec.gov/Archives/edgar/data/../../../ix?doc=/Archives/edgar/data/0001631574/000119312526183587/wve-20260331.htm" TargetMode="External"/><Relationship Id="rId21" Type="http://schemas.openxmlformats.org/officeDocument/2006/relationships/hyperlink" Target="http://www.sec.gov/Archives/edgar/data/../../../ix?doc=/Archives/edgar/data/1631574/000119312526324949/wve-20260630.htm" TargetMode="External"/><Relationship Id="rId22" Type="http://schemas.openxmlformats.org/officeDocument/2006/relationships/hyperlink" Target="http://www.sec.gov/Archives/edgar/data/../../../ix?doc=/Archives/edgar/data/0001631574/000119312526032698/d78838d8k.htm" TargetMode="External"/><Relationship Id="rId23" Type="http://schemas.openxmlformats.org/officeDocument/2006/relationships/hyperlink" Target="http://www.sec.gov/Archives/edgar/data/../../../ix?doc=/Archives/edgar/data/0001631574/000119312526125092/d17239d8k.htm" TargetMode="External"/><Relationship Id="rId24" Type="http://schemas.openxmlformats.org/officeDocument/2006/relationships/hyperlink" Target="http://www.sec.gov/Archives/edgar/data/../../../ix?doc=/Archives/edgar/data/0001631574/000119312526157003/d116643d8k.htm" TargetMode="External"/><Relationship Id="rId25" Type="http://schemas.openxmlformats.org/officeDocument/2006/relationships/hyperlink" Target="http://www.sec.gov/Archives/edgar/data/../../../ix?doc=/Archives/edgar/data/0001631574/000119312526167070/d44857d8k.htm" TargetMode="External"/><Relationship Id="rId26" Type="http://schemas.openxmlformats.org/officeDocument/2006/relationships/hyperlink" Target="http://www.sec.gov/Archives/edgar/data/../../../ix?doc=/Archives/edgar/data/0001631574/000119312526229076/d154261d8k.htm" TargetMode="External"/><Relationship Id="rId27" Type="http://schemas.openxmlformats.org/officeDocument/2006/relationships/hyperlink" Target="http://www.sec.gov/Archives/edgar/data/../../../ix?doc=/Archives/edgar/data/1631574/000119312526284002/d70732d8k.htm" TargetMode="External"/><Relationship Id="rId28" Type="http://schemas.openxmlformats.org/officeDocument/2006/relationships/hyperlink" Target="http://www.sec.gov/Archives/edgar/data/../../../ix?doc=/Archives/edgar/data/1631574/000119312526340430/d122282d8k12b.htm" TargetMode="External"/><Relationship Id="rId29" Type="http://schemas.openxmlformats.org/officeDocument/2006/relationships/hyperlink" Target="http://www.sec.gov/Archives/edgar/data/../../../ix?doc=/Archives/edgar/data/1631574/000119312526340430/d122282d8k12b.htm" TargetMode="External"/><Relationship Id="rId30" Type="http://schemas.openxmlformats.org/officeDocument/2006/relationships/hyperlink" Target="http://www.sec.gov/Archives/edgar/data/1631574/000119312526340430/d122282dex31.htm" TargetMode="External"/><Relationship Id="rId31" Type="http://schemas.openxmlformats.org/officeDocument/2006/relationships/hyperlink" Target="http://www.sec.gov/Archives/edgar/data/1631574/000119312526340430/d122282dex32.htm" TargetMode="External"/><Relationship Id="rId32" Type="http://schemas.openxmlformats.org/officeDocument/2006/relationships/hyperlink" Target="http://www.sec.gov/Archives/edgar/data/1631574/000119312515341447/d42123dex42.htm" TargetMode="External"/><Relationship Id="rId33" Type="http://schemas.openxmlformats.org/officeDocument/2006/relationships/hyperlink" Target="http://www.sec.gov/Archives/edgar/data/1631574/000156459018028757/wve-ex102_667.htm" TargetMode="External"/><Relationship Id="rId34" Type="http://schemas.openxmlformats.org/officeDocument/2006/relationships/hyperlink" Target="http://www.sec.gov/Archives/edgar/data/1631574/000119312516682053/d207833dex102.htm" TargetMode="External"/><Relationship Id="rId35" Type="http://schemas.openxmlformats.org/officeDocument/2006/relationships/hyperlink" Target="http://www.sec.gov/Archives/edgar/data/1631574/000095017023009319/wve-ex10_4.htm" TargetMode="External"/><Relationship Id="rId36" Type="http://schemas.openxmlformats.org/officeDocument/2006/relationships/hyperlink" Target="http://www.sec.gov/Archives/edgar/data/1631574/000095017023009319/wve-ex10_5.htm" TargetMode="External"/><Relationship Id="rId37" Type="http://schemas.openxmlformats.org/officeDocument/2006/relationships/hyperlink" Target="http://www.sec.gov/Archives/edgar/data/1631574/000156459017023225/wve-ex101_97.htm" TargetMode="External"/><Relationship Id="rId38" Type="http://schemas.openxmlformats.org/officeDocument/2006/relationships/hyperlink" Target="http://www.sec.gov/Archives/edgar/data/1631574/000119312526340430/d122282dex103.htm" TargetMode="External"/><Relationship Id="rId39" Type="http://schemas.openxmlformats.org/officeDocument/2006/relationships/hyperlink" Target="http://www.sec.gov/Archives/edgar/data/1631574/000119312525178083/d35789dex101.htm" TargetMode="External"/><Relationship Id="rId40" Type="http://schemas.openxmlformats.org/officeDocument/2006/relationships/hyperlink" Target="http://www.sec.gov/Archives/edgar/data/1631574/000119312526340430/d122282dex106.htm" TargetMode="External"/><Relationship Id="rId41" Type="http://schemas.openxmlformats.org/officeDocument/2006/relationships/hyperlink" Target="http://www.sec.gov/Archives/edgar/data/1631574/000119312523205066/d539015dex102.htm" TargetMode="External"/><Relationship Id="rId42" Type="http://schemas.openxmlformats.org/officeDocument/2006/relationships/hyperlink" Target="http://www.sec.gov/Archives/edgar/data/1631574/000156459017023225/wve-ex102_96.htm" TargetMode="External"/><Relationship Id="rId43" Type="http://schemas.openxmlformats.org/officeDocument/2006/relationships/hyperlink" Target="http://www.sec.gov/Archives/edgar/data/1631574/000156459017023225/wve-ex102_96.htm" TargetMode="External"/><Relationship Id="rId44" Type="http://schemas.openxmlformats.org/officeDocument/2006/relationships/hyperlink" Target="http://www.sec.gov/Archives/edgar/data/1631574/000156459017023225/wve-ex102_96.htm" TargetMode="External"/><Relationship Id="rId45" Type="http://schemas.openxmlformats.org/officeDocument/2006/relationships/hyperlink" Target="http://www.sec.gov/Archives/edgar/data/1631574/000156459019005671/wve-ex10233_556.htm" TargetMode="External"/><Relationship Id="rId46" Type="http://schemas.openxmlformats.org/officeDocument/2006/relationships/hyperlink" Target="http://www.sec.gov/Archives/edgar/data/1631574/000156459019005671/wve-ex10233_556.htm" TargetMode="External"/><Relationship Id="rId47" Type="http://schemas.openxmlformats.org/officeDocument/2006/relationships/hyperlink" Target="http://www.sec.gov/Archives/edgar/data/1631574/000156459019005671/wve-ex10233_556.htm" TargetMode="External"/><Relationship Id="rId48" Type="http://schemas.openxmlformats.org/officeDocument/2006/relationships/hyperlink" Target="http://www.sec.gov/Archives/edgar/data/1631574/000156459021055927/wve-ex103_161.htm" TargetMode="External"/><Relationship Id="rId49" Type="http://schemas.openxmlformats.org/officeDocument/2006/relationships/hyperlink" Target="http://www.sec.gov/Archives/edgar/data/1631574/000119312515406386/d38525dex101.htm" TargetMode="External"/><Relationship Id="rId50" Type="http://schemas.openxmlformats.org/officeDocument/2006/relationships/hyperlink" Target="http://www.sec.gov/Archives/edgar/data/1631574/000156459017023225/wve-ex103_95.htm" TargetMode="External"/><Relationship Id="rId51" Type="http://schemas.openxmlformats.org/officeDocument/2006/relationships/hyperlink" Target="http://www.sec.gov/Archives/edgar/data/1631574/000156459017023225/wve-ex104_94.htm" TargetMode="External"/><Relationship Id="rId52" Type="http://schemas.openxmlformats.org/officeDocument/2006/relationships/hyperlink" Target="http://www.sec.gov/Archives/edgar/data/1631574/000156459019005671/wve-ex10252_555.htm" TargetMode="External"/><Relationship Id="rId53" Type="http://schemas.openxmlformats.org/officeDocument/2006/relationships/hyperlink" Target="http://www.sec.gov/Archives/edgar/data/1631574/000156459019018521/wve-ex101_353.htm" TargetMode="External"/><Relationship Id="rId54" Type="http://schemas.openxmlformats.org/officeDocument/2006/relationships/hyperlink" Target="http://www.sec.gov/Archives/edgar/data/1631574/000156459021055927/wve-ex104_160.htm" TargetMode="External"/><Relationship Id="rId55" Type="http://schemas.openxmlformats.org/officeDocument/2006/relationships/hyperlink" Target="http://www.sec.gov/Archives/edgar/data/1631574/000156459021027223/wve-ex102_80.htm" TargetMode="External"/><Relationship Id="rId56" Type="http://schemas.openxmlformats.org/officeDocument/2006/relationships/hyperlink" Target="http://www.sec.gov/Archives/edgar/data/1631574/000156459021027223/wve-ex103_79.htm" TargetMode="External"/><Relationship Id="rId57" Type="http://schemas.openxmlformats.org/officeDocument/2006/relationships/hyperlink" Target="http://www.sec.gov/Archives/edgar/data/1631574/000156459017023225/wve-ex105_318.htm" TargetMode="External"/><Relationship Id="rId58" Type="http://schemas.openxmlformats.org/officeDocument/2006/relationships/hyperlink" Target="http://www.sec.gov/Archives/edgar/data/1631574/000156459019005671/wve-ex10262_554.htm" TargetMode="External"/><Relationship Id="rId59" Type="http://schemas.openxmlformats.org/officeDocument/2006/relationships/hyperlink" Target="http://www.sec.gov/Archives/edgar/data/1631574/000156459021055927/wve-ex105_158.htm" TargetMode="External"/><Relationship Id="rId60" Type="http://schemas.openxmlformats.org/officeDocument/2006/relationships/hyperlink" Target="http://www.sec.gov/Archives/edgar/data/1631574/000156459021055927/wve-ex106_159.htm" TargetMode="External"/><Relationship Id="rId61" Type="http://schemas.openxmlformats.org/officeDocument/2006/relationships/hyperlink" Target="http://www.sec.gov/Archives/edgar/data/1631574/000119312526340430/d122282dex104.htm" TargetMode="External"/><Relationship Id="rId62" Type="http://schemas.openxmlformats.org/officeDocument/2006/relationships/hyperlink" Target="http://www.sec.gov/Archives/edgar/data/1631574/000119312526340430/d122282dex105.htm" TargetMode="External"/><Relationship Id="rId63" Type="http://schemas.openxmlformats.org/officeDocument/2006/relationships/hyperlink" Target="http://www.sec.gov/Archives/edgar/data/1631574/000095017024093341/wve-ex10_1.htm" TargetMode="External"/><Relationship Id="rId64" Type="http://schemas.openxmlformats.org/officeDocument/2006/relationships/hyperlink" Target="http://www.sec.gov/Archives/edgar/data/1631574/000095017024093341/wve-ex10_2.htm" TargetMode="External"/><Relationship Id="rId65" Type="http://schemas.openxmlformats.org/officeDocument/2006/relationships/image" Target="media/image1.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16024</Words>
  <Characters>85780</Characters>
  <CharactersWithSpaces>101947</CharactersWithSpaces>
  <Paragraphs>1141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EX-99.7(2)</dc:title>
</cp:coreProperties>
</file>